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B58B" w14:textId="77777777" w:rsidR="00FE050D" w:rsidRDefault="00FE050D" w:rsidP="00FE050D">
      <w:pPr>
        <w:jc w:val="center"/>
        <w:rPr>
          <w:b/>
          <w:bCs/>
          <w:sz w:val="36"/>
          <w:szCs w:val="36"/>
        </w:rPr>
      </w:pPr>
      <w:r w:rsidRPr="00EE7FC4">
        <w:rPr>
          <w:b/>
          <w:bCs/>
          <w:sz w:val="36"/>
          <w:szCs w:val="36"/>
        </w:rPr>
        <w:t>Office of Research and Development (ORD)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23E9AE9" wp14:editId="46C9C64B">
            <wp:simplePos x="0" y="0"/>
            <wp:positionH relativeFrom="page">
              <wp:posOffset>374650</wp:posOffset>
            </wp:positionH>
            <wp:positionV relativeFrom="page">
              <wp:posOffset>368300</wp:posOffset>
            </wp:positionV>
            <wp:extent cx="977900" cy="9144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1"/>
                    <a:srcRect l="-4" r="81346"/>
                    <a:stretch/>
                  </pic:blipFill>
                  <pic:spPr bwMode="auto">
                    <a:xfrm>
                      <a:off x="0" y="0"/>
                      <a:ext cx="9779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Guidance:</w:t>
      </w:r>
    </w:p>
    <w:p w14:paraId="638847C5" w14:textId="02354E68" w:rsidR="00FE050D" w:rsidRDefault="00FE050D" w:rsidP="00FE050D">
      <w:pPr>
        <w:jc w:val="center"/>
        <w:rPr>
          <w:b/>
          <w:bCs/>
          <w:sz w:val="36"/>
          <w:szCs w:val="36"/>
        </w:rPr>
      </w:pPr>
      <w:r w:rsidRPr="4AC8FEA1">
        <w:rPr>
          <w:b/>
          <w:bCs/>
          <w:sz w:val="36"/>
          <w:szCs w:val="36"/>
        </w:rPr>
        <w:t xml:space="preserve">Safe </w:t>
      </w:r>
      <w:r>
        <w:rPr>
          <w:b/>
          <w:bCs/>
          <w:sz w:val="36"/>
          <w:szCs w:val="36"/>
        </w:rPr>
        <w:t>Segregation and Disposal of Laboratory Waste</w:t>
      </w:r>
      <w:r w:rsidRPr="4AC8FEA1">
        <w:rPr>
          <w:b/>
          <w:bCs/>
          <w:sz w:val="36"/>
          <w:szCs w:val="36"/>
        </w:rPr>
        <w:t xml:space="preserve"> </w:t>
      </w:r>
    </w:p>
    <w:p w14:paraId="7E364C32" w14:textId="77777777" w:rsidR="00FE050D" w:rsidRPr="00EE7FC4" w:rsidRDefault="00FE050D" w:rsidP="00FE050D">
      <w:pPr>
        <w:jc w:val="center"/>
        <w:rPr>
          <w:b/>
          <w:bCs/>
          <w:sz w:val="36"/>
          <w:szCs w:val="36"/>
        </w:rPr>
      </w:pPr>
    </w:p>
    <w:p w14:paraId="04160F22" w14:textId="77777777" w:rsidR="00FE050D" w:rsidRPr="00EE7FC4" w:rsidRDefault="00FE050D" w:rsidP="00FE050D">
      <w:pPr>
        <w:spacing w:line="240" w:lineRule="auto"/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</w:pPr>
      <w:r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  <w:t xml:space="preserve">Date:  </w:t>
      </w:r>
      <w:r w:rsidRPr="00EE7FC4">
        <w:rPr>
          <w:rStyle w:val="normaltextrun"/>
          <w:rFonts w:ascii="Calibri Light" w:hAnsi="Calibri Light" w:cs="Calibri Light"/>
          <w:b/>
          <w:bCs/>
          <w:sz w:val="32"/>
          <w:szCs w:val="32"/>
        </w:rPr>
        <w:t>April 26, 2022</w:t>
      </w:r>
    </w:p>
    <w:p w14:paraId="5D4F2D4B" w14:textId="099E5F01" w:rsidR="00FE050D" w:rsidRPr="00EE7FC4" w:rsidRDefault="00FE050D" w:rsidP="00FE050D">
      <w:pPr>
        <w:spacing w:line="240" w:lineRule="auto"/>
        <w:rPr>
          <w:rFonts w:ascii="Calibri Light" w:hAnsi="Calibri Light" w:cs="Calibri Light"/>
          <w:b/>
          <w:bCs/>
          <w:color w:val="2F5496"/>
          <w:sz w:val="32"/>
          <w:szCs w:val="32"/>
        </w:rPr>
      </w:pPr>
      <w:r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  <w:t xml:space="preserve">Issuing Office: </w:t>
      </w:r>
      <w:r w:rsidR="00972CE7" w:rsidRPr="00186279">
        <w:rPr>
          <w:rFonts w:ascii="Calibri Light" w:hAnsi="Calibri Light" w:cs="Calibri Light"/>
          <w:b/>
          <w:bCs/>
          <w:sz w:val="32"/>
          <w:szCs w:val="32"/>
        </w:rPr>
        <w:t>ORD Biomedical Research Laboratory Biosafety and Biosecurity Program</w:t>
      </w:r>
    </w:p>
    <w:p w14:paraId="3CE68BB9" w14:textId="77777777" w:rsidR="0032686A" w:rsidRPr="0032686A" w:rsidRDefault="0032686A" w:rsidP="0032686A">
      <w:pPr>
        <w:spacing w:line="240" w:lineRule="auto"/>
        <w:rPr>
          <w:rFonts w:ascii="Calibri Light" w:eastAsia="Calibri" w:hAnsi="Calibri Light" w:cs="Calibri Light"/>
          <w:b/>
          <w:bCs/>
          <w:sz w:val="32"/>
          <w:szCs w:val="32"/>
        </w:rPr>
      </w:pPr>
      <w:r w:rsidRPr="0032686A">
        <w:rPr>
          <w:rFonts w:ascii="Calibri Light" w:eastAsia="Calibri" w:hAnsi="Calibri Light" w:cs="Calibri Light"/>
          <w:b/>
          <w:bCs/>
          <w:sz w:val="32"/>
          <w:szCs w:val="32"/>
        </w:rPr>
        <w:t xml:space="preserve">For questions on the content within this guidance, email </w:t>
      </w:r>
      <w:hyperlink r:id="rId12" w:history="1">
        <w:r w:rsidRPr="0032686A">
          <w:rPr>
            <w:rFonts w:ascii="Calibri Light" w:eastAsia="Calibri" w:hAnsi="Calibri Light" w:cs="Calibri Light"/>
            <w:b/>
            <w:bCs/>
            <w:color w:val="0563C1" w:themeColor="hyperlink"/>
            <w:sz w:val="32"/>
            <w:szCs w:val="32"/>
            <w:u w:val="single"/>
          </w:rPr>
          <w:t>VHACOORDBiosafety@va.gov</w:t>
        </w:r>
      </w:hyperlink>
    </w:p>
    <w:p w14:paraId="4A4BE79D" w14:textId="77777777" w:rsidR="00296E40" w:rsidRPr="00296E40" w:rsidRDefault="00296E40" w:rsidP="00296E40">
      <w:pPr>
        <w:keepNext/>
        <w:keepLines/>
        <w:spacing w:before="240" w:after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296E40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Objective: </w:t>
      </w:r>
    </w:p>
    <w:p w14:paraId="79220E1C" w14:textId="1F0EF6CA" w:rsidR="00296E40" w:rsidRPr="00EB49DA" w:rsidRDefault="00EB49DA" w:rsidP="006E38F7">
      <w:pPr>
        <w:spacing w:after="0" w:line="240" w:lineRule="auto"/>
        <w:rPr>
          <w:rFonts w:ascii="Calibri" w:hAnsi="Calibri"/>
          <w:dstrike/>
        </w:rPr>
      </w:pPr>
      <w:r w:rsidRPr="00CA53F0">
        <w:rPr>
          <w:rStyle w:val="normaltextrun1"/>
          <w:rFonts w:ascii="Calibri" w:hAnsi="Calibri" w:cs="Calibri"/>
        </w:rPr>
        <w:t xml:space="preserve">Promote awareness of and compliance with policies and procedures on regulated waste among VA </w:t>
      </w:r>
      <w:r w:rsidR="00EB282B" w:rsidRPr="00CA53F0">
        <w:rPr>
          <w:rStyle w:val="normaltextrun1"/>
          <w:rFonts w:ascii="Calibri" w:hAnsi="Calibri" w:cs="Calibri"/>
        </w:rPr>
        <w:t xml:space="preserve">staff </w:t>
      </w:r>
      <w:r w:rsidR="002D2C22">
        <w:rPr>
          <w:rStyle w:val="normaltextrun1"/>
          <w:rFonts w:ascii="Calibri" w:hAnsi="Calibri" w:cs="Calibri"/>
        </w:rPr>
        <w:t xml:space="preserve">working </w:t>
      </w:r>
      <w:r w:rsidRPr="00CA53F0">
        <w:rPr>
          <w:rStyle w:val="normaltextrun1"/>
          <w:rFonts w:ascii="Calibri" w:hAnsi="Calibri" w:cs="Calibri"/>
        </w:rPr>
        <w:t>in biomedical and clinical research</w:t>
      </w:r>
      <w:r w:rsidR="002D2C22">
        <w:rPr>
          <w:rStyle w:val="normaltextrun1"/>
          <w:rFonts w:ascii="Calibri" w:hAnsi="Calibri" w:cs="Calibri"/>
        </w:rPr>
        <w:t xml:space="preserve"> laboratories</w:t>
      </w:r>
      <w:r w:rsidRPr="00CA53F0">
        <w:rPr>
          <w:rStyle w:val="normaltextrun1"/>
          <w:rFonts w:ascii="Calibri" w:hAnsi="Calibri" w:cs="Calibri"/>
        </w:rPr>
        <w:t>.</w:t>
      </w:r>
      <w:r w:rsidRPr="00CA53F0">
        <w:rPr>
          <w:rFonts w:ascii="Calibri" w:eastAsia="Times New Roman" w:hAnsi="Calibri" w:cs="Calibri"/>
        </w:rPr>
        <w:t xml:space="preserve"> </w:t>
      </w:r>
    </w:p>
    <w:p w14:paraId="371D7B77" w14:textId="77777777" w:rsidR="006E38F7" w:rsidRPr="00296E40" w:rsidRDefault="006E38F7" w:rsidP="006E38F7">
      <w:pPr>
        <w:spacing w:after="0" w:line="240" w:lineRule="auto"/>
      </w:pPr>
    </w:p>
    <w:p w14:paraId="13B4F0FA" w14:textId="77777777" w:rsidR="00296E40" w:rsidRPr="00296E40" w:rsidRDefault="00296E40" w:rsidP="00296E40">
      <w:pPr>
        <w:keepNext/>
        <w:keepLines/>
        <w:spacing w:before="240" w:after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296E40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Intended Usage:</w:t>
      </w:r>
    </w:p>
    <w:p w14:paraId="13D5DD72" w14:textId="21314A29" w:rsidR="007D06AE" w:rsidRDefault="00EB49DA" w:rsidP="007D06AE">
      <w:pPr>
        <w:pStyle w:val="paragraph"/>
        <w:textAlignment w:val="baseline"/>
      </w:pPr>
      <w:r w:rsidRPr="00C07540">
        <w:rPr>
          <w:rStyle w:val="normaltextrun1"/>
          <w:rFonts w:asciiTheme="minorHAnsi" w:hAnsiTheme="minorHAnsi" w:cstheme="minorHAnsi"/>
          <w:sz w:val="22"/>
          <w:szCs w:val="22"/>
        </w:rPr>
        <w:t xml:space="preserve">To support initial and refresher training </w:t>
      </w:r>
      <w:r w:rsidR="00EB282B" w:rsidRPr="00C07540">
        <w:rPr>
          <w:rStyle w:val="normaltextrun1"/>
          <w:rFonts w:asciiTheme="minorHAnsi" w:hAnsiTheme="minorHAnsi" w:cstheme="minorHAnsi"/>
          <w:sz w:val="22"/>
          <w:szCs w:val="22"/>
        </w:rPr>
        <w:t xml:space="preserve">of VA laboratory and support staff </w:t>
      </w:r>
      <w:bookmarkStart w:id="0" w:name="_Hlk94215424"/>
      <w:r w:rsidR="00EB282B" w:rsidRPr="00C07540">
        <w:rPr>
          <w:rStyle w:val="normaltextrun1"/>
          <w:rFonts w:asciiTheme="minorHAnsi" w:hAnsiTheme="minorHAnsi" w:cstheme="minorHAnsi"/>
          <w:sz w:val="22"/>
          <w:szCs w:val="22"/>
        </w:rPr>
        <w:t xml:space="preserve">on </w:t>
      </w:r>
      <w:r w:rsidR="00C07540" w:rsidRPr="00C07540">
        <w:rPr>
          <w:rStyle w:val="normaltextrun1"/>
          <w:rFonts w:asciiTheme="minorHAnsi" w:hAnsiTheme="minorHAnsi" w:cstheme="minorHAnsi"/>
          <w:sz w:val="22"/>
          <w:szCs w:val="22"/>
        </w:rPr>
        <w:t xml:space="preserve">the characterization, </w:t>
      </w:r>
      <w:bookmarkEnd w:id="0"/>
      <w:r w:rsidR="00EB282B" w:rsidRPr="00C07540">
        <w:rPr>
          <w:rFonts w:asciiTheme="minorHAnsi" w:hAnsiTheme="minorHAnsi" w:cstheme="minorHAnsi"/>
          <w:sz w:val="22"/>
          <w:szCs w:val="22"/>
        </w:rPr>
        <w:t xml:space="preserve">segregation, processing, storage, transport, and disposal of regulated waste. </w:t>
      </w:r>
      <w:r w:rsidR="007C551C" w:rsidRPr="00C07540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>T</w:t>
      </w:r>
      <w:r w:rsidR="007D06AE" w:rsidRPr="00C07540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 xml:space="preserve">his is intended to serve as a training supplement for VHA staff </w:t>
      </w:r>
      <w:r w:rsidR="008D328E" w:rsidRPr="00C07540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>and</w:t>
      </w:r>
      <w:r w:rsidR="00071424" w:rsidRPr="00C07540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D06AE" w:rsidRPr="00C07540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 xml:space="preserve">to be included in </w:t>
      </w:r>
      <w:r w:rsidR="006D02F5" w:rsidRPr="00C07540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>the</w:t>
      </w:r>
      <w:r w:rsidR="007D06AE" w:rsidRPr="00C07540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D02F5" w:rsidRPr="00C07540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>R</w:t>
      </w:r>
      <w:r w:rsidR="007D06AE" w:rsidRPr="00C07540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 xml:space="preserve">esearch </w:t>
      </w:r>
      <w:r w:rsidR="006D02F5" w:rsidRPr="00C07540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>F</w:t>
      </w:r>
      <w:r w:rsidR="007D06AE" w:rsidRPr="00C07540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>acility Laboratory</w:t>
      </w:r>
      <w:r w:rsidR="007D06AE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Safety Manual.</w:t>
      </w:r>
      <w:r w:rsidR="007D06A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065BDE6" w14:textId="77777777" w:rsidR="00296E40" w:rsidRPr="00296E40" w:rsidRDefault="00296E40" w:rsidP="00296E40"/>
    <w:sdt>
      <w:sdtPr>
        <w:rPr>
          <w:b/>
          <w:bCs/>
        </w:rPr>
        <w:id w:val="-708158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A32EB8F" w14:textId="77777777" w:rsidR="00296E40" w:rsidRPr="00296E40" w:rsidRDefault="00296E40" w:rsidP="00296E40">
          <w:pPr>
            <w:keepNext/>
            <w:keepLines/>
            <w:spacing w:before="240" w:after="0"/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sz w:val="32"/>
              <w:szCs w:val="32"/>
            </w:rPr>
          </w:pPr>
          <w:r w:rsidRPr="00296E40"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sz w:val="32"/>
              <w:szCs w:val="32"/>
            </w:rPr>
            <w:t>Table of Contents</w:t>
          </w:r>
        </w:p>
        <w:p w14:paraId="7C0306B8" w14:textId="58AB4650" w:rsidR="00B30CAD" w:rsidRDefault="00296E4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296E40">
            <w:fldChar w:fldCharType="begin"/>
          </w:r>
          <w:r w:rsidRPr="00296E40">
            <w:instrText xml:space="preserve"> TOC \o "1-3" \h \z \u </w:instrText>
          </w:r>
          <w:r w:rsidRPr="00296E40">
            <w:fldChar w:fldCharType="separate"/>
          </w:r>
          <w:hyperlink w:anchor="_Toc101866829" w:history="1">
            <w:r w:rsidR="00B30CAD" w:rsidRPr="00CD1CA7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Introduction</w:t>
            </w:r>
            <w:r w:rsidR="00B30CAD">
              <w:rPr>
                <w:noProof/>
                <w:webHidden/>
              </w:rPr>
              <w:tab/>
            </w:r>
            <w:r w:rsidR="00B30CAD">
              <w:rPr>
                <w:noProof/>
                <w:webHidden/>
              </w:rPr>
              <w:fldChar w:fldCharType="begin"/>
            </w:r>
            <w:r w:rsidR="00B30CAD">
              <w:rPr>
                <w:noProof/>
                <w:webHidden/>
              </w:rPr>
              <w:instrText xml:space="preserve"> PAGEREF _Toc101866829 \h </w:instrText>
            </w:r>
            <w:r w:rsidR="00B30CAD">
              <w:rPr>
                <w:noProof/>
                <w:webHidden/>
              </w:rPr>
            </w:r>
            <w:r w:rsidR="00B30CAD">
              <w:rPr>
                <w:noProof/>
                <w:webHidden/>
              </w:rPr>
              <w:fldChar w:fldCharType="separate"/>
            </w:r>
            <w:r w:rsidR="00B30CAD">
              <w:rPr>
                <w:noProof/>
                <w:webHidden/>
              </w:rPr>
              <w:t>2</w:t>
            </w:r>
            <w:r w:rsidR="00B30CAD">
              <w:rPr>
                <w:noProof/>
                <w:webHidden/>
              </w:rPr>
              <w:fldChar w:fldCharType="end"/>
            </w:r>
          </w:hyperlink>
        </w:p>
        <w:p w14:paraId="1B25C23F" w14:textId="4B57A27B" w:rsidR="00B30CAD" w:rsidRDefault="006F47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1866830" w:history="1">
            <w:r w:rsidR="00B30CAD" w:rsidRPr="00CD1CA7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Additional information</w:t>
            </w:r>
            <w:r w:rsidR="00B30CAD">
              <w:rPr>
                <w:noProof/>
                <w:webHidden/>
              </w:rPr>
              <w:tab/>
            </w:r>
            <w:r w:rsidR="00B30CAD">
              <w:rPr>
                <w:noProof/>
                <w:webHidden/>
              </w:rPr>
              <w:fldChar w:fldCharType="begin"/>
            </w:r>
            <w:r w:rsidR="00B30CAD">
              <w:rPr>
                <w:noProof/>
                <w:webHidden/>
              </w:rPr>
              <w:instrText xml:space="preserve"> PAGEREF _Toc101866830 \h </w:instrText>
            </w:r>
            <w:r w:rsidR="00B30CAD">
              <w:rPr>
                <w:noProof/>
                <w:webHidden/>
              </w:rPr>
            </w:r>
            <w:r w:rsidR="00B30CAD">
              <w:rPr>
                <w:noProof/>
                <w:webHidden/>
              </w:rPr>
              <w:fldChar w:fldCharType="separate"/>
            </w:r>
            <w:r w:rsidR="00B30CAD">
              <w:rPr>
                <w:noProof/>
                <w:webHidden/>
              </w:rPr>
              <w:t>3</w:t>
            </w:r>
            <w:r w:rsidR="00B30CAD">
              <w:rPr>
                <w:noProof/>
                <w:webHidden/>
              </w:rPr>
              <w:fldChar w:fldCharType="end"/>
            </w:r>
          </w:hyperlink>
        </w:p>
        <w:p w14:paraId="1299B90A" w14:textId="2B5CEE74" w:rsidR="00B30CAD" w:rsidRDefault="006F47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1866831" w:history="1">
            <w:r w:rsidR="00B30CAD" w:rsidRPr="00CD1CA7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Applicable Regulations and/or Guidelines</w:t>
            </w:r>
            <w:r w:rsidR="00B30CAD">
              <w:rPr>
                <w:noProof/>
                <w:webHidden/>
              </w:rPr>
              <w:tab/>
            </w:r>
            <w:r w:rsidR="00B30CAD">
              <w:rPr>
                <w:noProof/>
                <w:webHidden/>
              </w:rPr>
              <w:fldChar w:fldCharType="begin"/>
            </w:r>
            <w:r w:rsidR="00B30CAD">
              <w:rPr>
                <w:noProof/>
                <w:webHidden/>
              </w:rPr>
              <w:instrText xml:space="preserve"> PAGEREF _Toc101866831 \h </w:instrText>
            </w:r>
            <w:r w:rsidR="00B30CAD">
              <w:rPr>
                <w:noProof/>
                <w:webHidden/>
              </w:rPr>
            </w:r>
            <w:r w:rsidR="00B30CAD">
              <w:rPr>
                <w:noProof/>
                <w:webHidden/>
              </w:rPr>
              <w:fldChar w:fldCharType="separate"/>
            </w:r>
            <w:r w:rsidR="00B30CAD">
              <w:rPr>
                <w:noProof/>
                <w:webHidden/>
              </w:rPr>
              <w:t>4</w:t>
            </w:r>
            <w:r w:rsidR="00B30CAD">
              <w:rPr>
                <w:noProof/>
                <w:webHidden/>
              </w:rPr>
              <w:fldChar w:fldCharType="end"/>
            </w:r>
          </w:hyperlink>
        </w:p>
        <w:p w14:paraId="23449AED" w14:textId="2E5C796B" w:rsidR="00296E40" w:rsidRPr="00296E40" w:rsidRDefault="00296E40" w:rsidP="00296E40">
          <w:r w:rsidRPr="00296E40">
            <w:rPr>
              <w:b/>
              <w:bCs/>
              <w:noProof/>
            </w:rPr>
            <w:fldChar w:fldCharType="end"/>
          </w:r>
        </w:p>
      </w:sdtContent>
    </w:sdt>
    <w:p w14:paraId="19F83DCF" w14:textId="77777777" w:rsidR="00296E40" w:rsidRPr="00296E40" w:rsidRDefault="00296E40" w:rsidP="00296E40">
      <w:pPr>
        <w:rPr>
          <w:rFonts w:asciiTheme="majorHAnsi" w:eastAsiaTheme="majorEastAsia" w:hAnsiTheme="majorHAnsi" w:cstheme="majorBidi"/>
          <w:spacing w:val="-10"/>
          <w:kern w:val="28"/>
          <w:sz w:val="52"/>
          <w:szCs w:val="52"/>
        </w:rPr>
      </w:pPr>
    </w:p>
    <w:p w14:paraId="6367DB28" w14:textId="77777777" w:rsidR="00296E40" w:rsidRPr="00296E40" w:rsidRDefault="00296E40" w:rsidP="00296E40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spacing w:val="-10"/>
          <w:kern w:val="28"/>
          <w:sz w:val="52"/>
          <w:szCs w:val="52"/>
        </w:rPr>
        <w:sectPr w:rsidR="00296E40" w:rsidRPr="00296E40" w:rsidSect="00B30CAD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4CE94A4" w14:textId="11B0B289" w:rsidR="00CD5505" w:rsidRDefault="00296E40" w:rsidP="00296E40">
      <w:pPr>
        <w:jc w:val="center"/>
        <w:rPr>
          <w:b/>
          <w:bCs/>
          <w:i/>
          <w:iCs/>
          <w:color w:val="0070C0"/>
        </w:rPr>
      </w:pPr>
      <w:r w:rsidRPr="00296E40">
        <w:rPr>
          <w:b/>
          <w:bCs/>
          <w:sz w:val="36"/>
          <w:szCs w:val="36"/>
        </w:rPr>
        <w:lastRenderedPageBreak/>
        <w:t xml:space="preserve">Safe </w:t>
      </w:r>
      <w:r>
        <w:rPr>
          <w:b/>
          <w:bCs/>
          <w:sz w:val="36"/>
          <w:szCs w:val="36"/>
        </w:rPr>
        <w:t>Segregation and Disposal of Laboratory Waste</w:t>
      </w:r>
      <w:r w:rsidR="00CD5505" w:rsidRPr="004F4E63">
        <w:rPr>
          <w:rFonts w:asciiTheme="majorHAnsi" w:eastAsiaTheme="majorEastAsia" w:hAnsiTheme="majorHAnsi" w:cstheme="majorBidi"/>
          <w:b/>
          <w:bCs/>
          <w:spacing w:val="-10"/>
          <w:kern w:val="28"/>
          <w:sz w:val="32"/>
          <w:szCs w:val="32"/>
        </w:rPr>
        <w:t xml:space="preserve"> </w:t>
      </w:r>
    </w:p>
    <w:p w14:paraId="4A4121BA" w14:textId="004D1F64" w:rsidR="00DA7093" w:rsidRPr="00296E40" w:rsidRDefault="00180601" w:rsidP="00296E40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bookmarkStart w:id="1" w:name="_Toc101866829"/>
      <w:r w:rsidRPr="00296E40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Introduction</w:t>
      </w:r>
      <w:bookmarkEnd w:id="1"/>
    </w:p>
    <w:p w14:paraId="17530310" w14:textId="59E675CB" w:rsidR="00A825DC" w:rsidRPr="006E38F7" w:rsidRDefault="00D87E5B" w:rsidP="5914666F">
      <w:pPr>
        <w:rPr>
          <w:shd w:val="clear" w:color="auto" w:fill="FFFFFF"/>
        </w:rPr>
      </w:pPr>
      <w:r w:rsidRPr="5914666F">
        <w:rPr>
          <w:shd w:val="clear" w:color="auto" w:fill="FFFFFF"/>
        </w:rPr>
        <w:t xml:space="preserve">There are different types of waste generated in </w:t>
      </w:r>
      <w:r w:rsidR="00EE2237">
        <w:rPr>
          <w:shd w:val="clear" w:color="auto" w:fill="FFFFFF"/>
        </w:rPr>
        <w:t xml:space="preserve">a </w:t>
      </w:r>
      <w:r w:rsidR="3E71199D" w:rsidRPr="5914666F">
        <w:rPr>
          <w:shd w:val="clear" w:color="auto" w:fill="FFFFFF"/>
        </w:rPr>
        <w:t>research</w:t>
      </w:r>
      <w:r w:rsidRPr="5914666F">
        <w:rPr>
          <w:shd w:val="clear" w:color="auto" w:fill="FFFFFF"/>
        </w:rPr>
        <w:t xml:space="preserve"> and/or diagnostic laboratory</w:t>
      </w:r>
      <w:r w:rsidR="00CB10E3" w:rsidRPr="5914666F">
        <w:rPr>
          <w:shd w:val="clear" w:color="auto" w:fill="FFFFFF"/>
        </w:rPr>
        <w:t>.  The most common waste categories are the following:</w:t>
      </w:r>
    </w:p>
    <w:p w14:paraId="209A5B6F" w14:textId="267B97D3" w:rsidR="00C1467F" w:rsidRPr="006E38F7" w:rsidRDefault="00094148" w:rsidP="43B255F5">
      <w:pPr>
        <w:pStyle w:val="ListParagraph"/>
        <w:numPr>
          <w:ilvl w:val="0"/>
          <w:numId w:val="7"/>
        </w:numPr>
        <w:rPr>
          <w:shd w:val="clear" w:color="auto" w:fill="FFFFFF"/>
        </w:rPr>
      </w:pPr>
      <w:r w:rsidRPr="43B255F5">
        <w:rPr>
          <w:b/>
          <w:bCs/>
          <w:shd w:val="clear" w:color="auto" w:fill="FFFFFF"/>
        </w:rPr>
        <w:t>Hazardous Waste</w:t>
      </w:r>
      <w:r w:rsidRPr="43B255F5">
        <w:rPr>
          <w:shd w:val="clear" w:color="auto" w:fill="FFFFFF"/>
        </w:rPr>
        <w:t xml:space="preserve"> (Hazwaste) </w:t>
      </w:r>
      <w:r w:rsidR="00C202C8" w:rsidRPr="43B255F5">
        <w:rPr>
          <w:shd w:val="clear" w:color="auto" w:fill="FFFFFF"/>
        </w:rPr>
        <w:t>is</w:t>
      </w:r>
      <w:r w:rsidRPr="43B255F5">
        <w:rPr>
          <w:shd w:val="clear" w:color="auto" w:fill="FFFFFF"/>
        </w:rPr>
        <w:t xml:space="preserve"> waste that is considered ignitable, corrosive, reactive, or toxic. </w:t>
      </w:r>
      <w:r w:rsidR="00E32D17" w:rsidRPr="43B255F5">
        <w:rPr>
          <w:shd w:val="clear" w:color="auto" w:fill="FFFFFF"/>
        </w:rPr>
        <w:t xml:space="preserve">Proper </w:t>
      </w:r>
      <w:r w:rsidRPr="43B255F5">
        <w:rPr>
          <w:shd w:val="clear" w:color="auto" w:fill="FFFFFF"/>
        </w:rPr>
        <w:t xml:space="preserve">identification, labeling and packaging of hazardous waste </w:t>
      </w:r>
      <w:r w:rsidR="001D3E84" w:rsidRPr="43B255F5">
        <w:rPr>
          <w:shd w:val="clear" w:color="auto" w:fill="FFFFFF"/>
        </w:rPr>
        <w:t xml:space="preserve">is </w:t>
      </w:r>
      <w:r w:rsidR="00180FB7" w:rsidRPr="005E5B7B">
        <w:rPr>
          <w:shd w:val="clear" w:color="auto" w:fill="FFFFFF"/>
        </w:rPr>
        <w:t>required</w:t>
      </w:r>
      <w:r w:rsidR="00180FB7">
        <w:rPr>
          <w:color w:val="FF0000"/>
          <w:shd w:val="clear" w:color="auto" w:fill="FFFFFF"/>
        </w:rPr>
        <w:t xml:space="preserve"> </w:t>
      </w:r>
      <w:r w:rsidRPr="43B255F5">
        <w:rPr>
          <w:shd w:val="clear" w:color="auto" w:fill="FFFFFF"/>
        </w:rPr>
        <w:t>according to federal</w:t>
      </w:r>
      <w:r w:rsidR="001D3E84" w:rsidRPr="43B255F5">
        <w:rPr>
          <w:shd w:val="clear" w:color="auto" w:fill="FFFFFF"/>
        </w:rPr>
        <w:t xml:space="preserve"> and </w:t>
      </w:r>
      <w:r w:rsidRPr="43B255F5">
        <w:rPr>
          <w:shd w:val="clear" w:color="auto" w:fill="FFFFFF"/>
        </w:rPr>
        <w:t xml:space="preserve">state regulations, and </w:t>
      </w:r>
      <w:r w:rsidR="001D3E84" w:rsidRPr="43B255F5">
        <w:rPr>
          <w:shd w:val="clear" w:color="auto" w:fill="FFFFFF"/>
        </w:rPr>
        <w:t>institutional</w:t>
      </w:r>
      <w:r w:rsidRPr="43B255F5">
        <w:rPr>
          <w:shd w:val="clear" w:color="auto" w:fill="FFFFFF"/>
        </w:rPr>
        <w:t xml:space="preserve"> policy. </w:t>
      </w:r>
    </w:p>
    <w:p w14:paraId="123C50F3" w14:textId="57F52E61" w:rsidR="00230993" w:rsidRPr="006E38F7" w:rsidRDefault="00230993" w:rsidP="43B255F5">
      <w:pPr>
        <w:pStyle w:val="ListParagraph"/>
        <w:numPr>
          <w:ilvl w:val="0"/>
          <w:numId w:val="7"/>
        </w:numPr>
        <w:rPr>
          <w:shd w:val="clear" w:color="auto" w:fill="FFFFFF"/>
        </w:rPr>
      </w:pPr>
      <w:r w:rsidRPr="43B255F5">
        <w:rPr>
          <w:b/>
          <w:bCs/>
          <w:shd w:val="clear" w:color="auto" w:fill="FFFFFF"/>
        </w:rPr>
        <w:t>Medical Waste</w:t>
      </w:r>
      <w:r w:rsidR="009E3CCA" w:rsidRPr="43B255F5">
        <w:rPr>
          <w:shd w:val="clear" w:color="auto" w:fill="FFFFFF"/>
        </w:rPr>
        <w:t xml:space="preserve"> is </w:t>
      </w:r>
      <w:r w:rsidR="00334A8B" w:rsidRPr="43B255F5">
        <w:rPr>
          <w:shd w:val="clear" w:color="auto" w:fill="FFFFFF"/>
        </w:rPr>
        <w:t>all</w:t>
      </w:r>
      <w:r w:rsidR="007944BE">
        <w:rPr>
          <w:color w:val="FF0000"/>
          <w:shd w:val="clear" w:color="auto" w:fill="FFFFFF"/>
        </w:rPr>
        <w:t xml:space="preserve"> </w:t>
      </w:r>
      <w:r w:rsidR="00334A8B" w:rsidRPr="43B255F5">
        <w:rPr>
          <w:shd w:val="clear" w:color="auto" w:fill="FFFFFF"/>
        </w:rPr>
        <w:t xml:space="preserve">waste that contains biological components that may be infectious or harmful to human health as defined by the OSHA Bloodborne Pathogen Standard. This includes but is not limited </w:t>
      </w:r>
      <w:r w:rsidR="005C1833" w:rsidRPr="43B255F5">
        <w:rPr>
          <w:shd w:val="clear" w:color="auto" w:fill="FFFFFF"/>
        </w:rPr>
        <w:t>to</w:t>
      </w:r>
      <w:r w:rsidR="00563C59" w:rsidRPr="43B255F5">
        <w:rPr>
          <w:shd w:val="clear" w:color="auto" w:fill="FFFFFF"/>
        </w:rPr>
        <w:t xml:space="preserve"> </w:t>
      </w:r>
      <w:r w:rsidR="00180FB7" w:rsidRPr="00CA53F0">
        <w:rPr>
          <w:shd w:val="clear" w:color="auto" w:fill="FFFFFF"/>
        </w:rPr>
        <w:t>solid</w:t>
      </w:r>
      <w:r w:rsidR="00180FB7">
        <w:rPr>
          <w:color w:val="FF0000"/>
          <w:shd w:val="clear" w:color="auto" w:fill="FFFFFF"/>
        </w:rPr>
        <w:t xml:space="preserve"> </w:t>
      </w:r>
      <w:r w:rsidR="003F6653" w:rsidRPr="43B255F5">
        <w:rPr>
          <w:shd w:val="clear" w:color="auto" w:fill="FFFFFF"/>
        </w:rPr>
        <w:t>b</w:t>
      </w:r>
      <w:r w:rsidR="00334A8B" w:rsidRPr="43B255F5">
        <w:rPr>
          <w:shd w:val="clear" w:color="auto" w:fill="FFFFFF"/>
        </w:rPr>
        <w:t>iohazardous waste</w:t>
      </w:r>
      <w:r w:rsidR="003F6653" w:rsidRPr="43B255F5">
        <w:rPr>
          <w:shd w:val="clear" w:color="auto" w:fill="FFFFFF"/>
        </w:rPr>
        <w:t>, p</w:t>
      </w:r>
      <w:r w:rsidR="00334A8B" w:rsidRPr="43B255F5">
        <w:rPr>
          <w:shd w:val="clear" w:color="auto" w:fill="FFFFFF"/>
        </w:rPr>
        <w:t>athological waste</w:t>
      </w:r>
      <w:r w:rsidR="003F6653" w:rsidRPr="43B255F5">
        <w:rPr>
          <w:shd w:val="clear" w:color="auto" w:fill="FFFFFF"/>
        </w:rPr>
        <w:t>, p</w:t>
      </w:r>
      <w:r w:rsidR="00334A8B" w:rsidRPr="43B255F5">
        <w:rPr>
          <w:shd w:val="clear" w:color="auto" w:fill="FFFFFF"/>
        </w:rPr>
        <w:t>harmaceutical waste</w:t>
      </w:r>
      <w:r w:rsidR="003F6653" w:rsidRPr="43B255F5">
        <w:rPr>
          <w:shd w:val="clear" w:color="auto" w:fill="FFFFFF"/>
        </w:rPr>
        <w:t>, t</w:t>
      </w:r>
      <w:r w:rsidR="00334A8B" w:rsidRPr="43B255F5">
        <w:rPr>
          <w:shd w:val="clear" w:color="auto" w:fill="FFFFFF"/>
        </w:rPr>
        <w:t>race-chemotherapy waste</w:t>
      </w:r>
      <w:r w:rsidR="005E2C57" w:rsidRPr="43B255F5">
        <w:rPr>
          <w:shd w:val="clear" w:color="auto" w:fill="FFFFFF"/>
        </w:rPr>
        <w:t xml:space="preserve"> and similar.</w:t>
      </w:r>
      <w:r w:rsidR="001473EC" w:rsidRPr="43B255F5">
        <w:rPr>
          <w:shd w:val="clear" w:color="auto" w:fill="FFFFFF"/>
        </w:rPr>
        <w:t xml:space="preserve"> Please </w:t>
      </w:r>
      <w:r w:rsidR="6A1A6022" w:rsidRPr="00B651FD">
        <w:rPr>
          <w:shd w:val="clear" w:color="auto" w:fill="FFFFFF"/>
        </w:rPr>
        <w:t xml:space="preserve">consult local and state regulations </w:t>
      </w:r>
      <w:r w:rsidR="61FEC807" w:rsidRPr="00B651FD">
        <w:rPr>
          <w:shd w:val="clear" w:color="auto" w:fill="FFFFFF"/>
        </w:rPr>
        <w:t>on</w:t>
      </w:r>
      <w:r w:rsidR="61FEC807" w:rsidRPr="43B255F5">
        <w:rPr>
          <w:color w:val="FF0000"/>
          <w:shd w:val="clear" w:color="auto" w:fill="FFFFFF"/>
        </w:rPr>
        <w:t xml:space="preserve"> </w:t>
      </w:r>
      <w:r w:rsidR="001473EC" w:rsidRPr="43B255F5">
        <w:rPr>
          <w:shd w:val="clear" w:color="auto" w:fill="FFFFFF"/>
        </w:rPr>
        <w:t>requirements for</w:t>
      </w:r>
      <w:r w:rsidR="007D32DE" w:rsidRPr="43B255F5">
        <w:rPr>
          <w:shd w:val="clear" w:color="auto" w:fill="FFFFFF"/>
        </w:rPr>
        <w:t xml:space="preserve"> regulated medical waste. </w:t>
      </w:r>
    </w:p>
    <w:p w14:paraId="015745DA" w14:textId="33343073" w:rsidR="00E2388F" w:rsidRPr="006E38F7" w:rsidRDefault="00E2388F" w:rsidP="00622FB1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6E38F7">
        <w:rPr>
          <w:rFonts w:cstheme="minorHAnsi"/>
          <w:b/>
          <w:bCs/>
          <w:shd w:val="clear" w:color="auto" w:fill="FFFFFF"/>
        </w:rPr>
        <w:t>Radioactive Waste</w:t>
      </w:r>
      <w:r w:rsidR="003F70C4" w:rsidRPr="006E38F7">
        <w:rPr>
          <w:rFonts w:cstheme="minorHAnsi"/>
          <w:b/>
          <w:bCs/>
          <w:shd w:val="clear" w:color="auto" w:fill="FFFFFF"/>
        </w:rPr>
        <w:t xml:space="preserve"> </w:t>
      </w:r>
      <w:r w:rsidR="00174AF0" w:rsidRPr="006E38F7">
        <w:rPr>
          <w:rFonts w:cstheme="minorHAnsi"/>
          <w:shd w:val="clear" w:color="auto" w:fill="FFFFFF"/>
        </w:rPr>
        <w:t>e</w:t>
      </w:r>
      <w:r w:rsidR="003F70C4" w:rsidRPr="006E38F7">
        <w:rPr>
          <w:rFonts w:cstheme="minorHAnsi"/>
          <w:shd w:val="clear" w:color="auto" w:fill="FFFFFF"/>
        </w:rPr>
        <w:t xml:space="preserve">xamples </w:t>
      </w:r>
      <w:r w:rsidR="00174AF0" w:rsidRPr="006E38F7">
        <w:rPr>
          <w:rFonts w:cstheme="minorHAnsi"/>
          <w:shd w:val="clear" w:color="auto" w:fill="FFFFFF"/>
        </w:rPr>
        <w:t>include</w:t>
      </w:r>
      <w:r w:rsidR="004B30AF" w:rsidRPr="006E38F7">
        <w:rPr>
          <w:rFonts w:cstheme="minorHAnsi"/>
          <w:shd w:val="clear" w:color="auto" w:fill="FFFFFF"/>
        </w:rPr>
        <w:t xml:space="preserve"> </w:t>
      </w:r>
      <w:r w:rsidR="001A4D82" w:rsidRPr="006E38F7">
        <w:rPr>
          <w:rFonts w:cstheme="minorHAnsi"/>
          <w:shd w:val="clear" w:color="auto" w:fill="FFFFFF"/>
        </w:rPr>
        <w:t>d</w:t>
      </w:r>
      <w:r w:rsidR="003F70C4" w:rsidRPr="006E38F7">
        <w:rPr>
          <w:rFonts w:cstheme="minorHAnsi"/>
          <w:shd w:val="clear" w:color="auto" w:fill="FFFFFF"/>
        </w:rPr>
        <w:t>ry radioactive lab waste and contaminated equipment</w:t>
      </w:r>
      <w:r w:rsidR="001A4D82" w:rsidRPr="006E38F7">
        <w:rPr>
          <w:rFonts w:cstheme="minorHAnsi"/>
          <w:shd w:val="clear" w:color="auto" w:fill="FFFFFF"/>
        </w:rPr>
        <w:t>, l</w:t>
      </w:r>
      <w:r w:rsidR="003F70C4" w:rsidRPr="006E38F7">
        <w:rPr>
          <w:rFonts w:cstheme="minorHAnsi"/>
          <w:shd w:val="clear" w:color="auto" w:fill="FFFFFF"/>
        </w:rPr>
        <w:t xml:space="preserve">iquid scintillation vials and fluid waste </w:t>
      </w:r>
      <w:r w:rsidR="008B0F26" w:rsidRPr="006E38F7">
        <w:rPr>
          <w:rFonts w:cstheme="minorHAnsi"/>
          <w:shd w:val="clear" w:color="auto" w:fill="FFFFFF"/>
        </w:rPr>
        <w:t>(</w:t>
      </w:r>
      <w:r w:rsidR="003F70C4" w:rsidRPr="006E38F7">
        <w:rPr>
          <w:rFonts w:cstheme="minorHAnsi"/>
          <w:shd w:val="clear" w:color="auto" w:fill="FFFFFF"/>
        </w:rPr>
        <w:t>including non-radioactive LSC waste</w:t>
      </w:r>
      <w:r w:rsidR="008B0F26" w:rsidRPr="006E38F7">
        <w:rPr>
          <w:rFonts w:cstheme="minorHAnsi"/>
          <w:shd w:val="clear" w:color="auto" w:fill="FFFFFF"/>
        </w:rPr>
        <w:t>)</w:t>
      </w:r>
      <w:r w:rsidR="001A4D82" w:rsidRPr="006E38F7">
        <w:rPr>
          <w:rFonts w:cstheme="minorHAnsi"/>
          <w:shd w:val="clear" w:color="auto" w:fill="FFFFFF"/>
        </w:rPr>
        <w:t>, r</w:t>
      </w:r>
      <w:r w:rsidR="003F70C4" w:rsidRPr="006E38F7">
        <w:rPr>
          <w:rFonts w:cstheme="minorHAnsi"/>
          <w:shd w:val="clear" w:color="auto" w:fill="FFFFFF"/>
        </w:rPr>
        <w:t xml:space="preserve">adioactive animal waste </w:t>
      </w:r>
      <w:r w:rsidR="008B0F26" w:rsidRPr="006E38F7">
        <w:rPr>
          <w:rFonts w:cstheme="minorHAnsi"/>
          <w:shd w:val="clear" w:color="auto" w:fill="FFFFFF"/>
        </w:rPr>
        <w:t>and similar.</w:t>
      </w:r>
    </w:p>
    <w:p w14:paraId="761B3998" w14:textId="700FB78F" w:rsidR="00DC4D4C" w:rsidRPr="00782F7A" w:rsidRDefault="00CC25C1" w:rsidP="007950C9">
      <w:pPr>
        <w:pStyle w:val="ListParagraph"/>
        <w:numPr>
          <w:ilvl w:val="0"/>
          <w:numId w:val="7"/>
        </w:numPr>
        <w:rPr>
          <w:b/>
          <w:bCs/>
          <w:i/>
          <w:iCs/>
        </w:rPr>
      </w:pPr>
      <w:r w:rsidRPr="00CA53F0">
        <w:rPr>
          <w:rFonts w:cstheme="minorHAnsi"/>
          <w:b/>
          <w:bCs/>
          <w:shd w:val="clear" w:color="auto" w:fill="FFFFFF"/>
        </w:rPr>
        <w:t>General</w:t>
      </w:r>
      <w:r>
        <w:rPr>
          <w:rFonts w:cstheme="minorHAnsi"/>
          <w:b/>
          <w:bCs/>
          <w:color w:val="FF0000"/>
          <w:shd w:val="clear" w:color="auto" w:fill="FFFFFF"/>
        </w:rPr>
        <w:t xml:space="preserve"> </w:t>
      </w:r>
      <w:r w:rsidR="00230993" w:rsidRPr="006E38F7">
        <w:rPr>
          <w:rFonts w:cstheme="minorHAnsi"/>
          <w:b/>
          <w:bCs/>
          <w:shd w:val="clear" w:color="auto" w:fill="FFFFFF"/>
        </w:rPr>
        <w:t>Waste and Recyclables</w:t>
      </w:r>
      <w:r w:rsidR="00FB79E6">
        <w:rPr>
          <w:rFonts w:cstheme="minorHAnsi"/>
          <w:b/>
          <w:bCs/>
          <w:shd w:val="clear" w:color="auto" w:fill="FFFFFF"/>
        </w:rPr>
        <w:t xml:space="preserve"> </w:t>
      </w:r>
      <w:r w:rsidR="00FB79E6" w:rsidRPr="00CA53F0">
        <w:rPr>
          <w:rFonts w:cstheme="minorHAnsi"/>
          <w:shd w:val="clear" w:color="auto" w:fill="FFFFFF"/>
        </w:rPr>
        <w:t>is comprised of</w:t>
      </w:r>
      <w:r w:rsidR="00FB79E6" w:rsidRPr="00CA53F0">
        <w:rPr>
          <w:rFonts w:cstheme="minorHAnsi"/>
          <w:b/>
          <w:bCs/>
          <w:shd w:val="clear" w:color="auto" w:fill="FFFFFF"/>
        </w:rPr>
        <w:t xml:space="preserve"> </w:t>
      </w:r>
      <w:r w:rsidR="00FB79E6" w:rsidRPr="00CA53F0">
        <w:rPr>
          <w:rFonts w:cstheme="minorHAnsi"/>
          <w:shd w:val="clear" w:color="auto" w:fill="FFFFFF"/>
        </w:rPr>
        <w:t xml:space="preserve">solid waste that does not meet the above descriptions. i.e., </w:t>
      </w:r>
      <w:r w:rsidR="007944BE" w:rsidRPr="00CA53F0">
        <w:rPr>
          <w:rFonts w:cstheme="minorHAnsi"/>
          <w:shd w:val="clear" w:color="auto" w:fill="FFFFFF"/>
        </w:rPr>
        <w:t xml:space="preserve">uncontaminated </w:t>
      </w:r>
      <w:r w:rsidR="00FB79E6" w:rsidRPr="00CA53F0">
        <w:rPr>
          <w:rFonts w:cstheme="minorHAnsi"/>
          <w:shd w:val="clear" w:color="auto" w:fill="FFFFFF"/>
        </w:rPr>
        <w:t>wrapping and packaging materials</w:t>
      </w:r>
      <w:r w:rsidR="007944BE" w:rsidRPr="00CA53F0">
        <w:rPr>
          <w:rFonts w:cstheme="minorHAnsi"/>
          <w:shd w:val="clear" w:color="auto" w:fill="FFFFFF"/>
        </w:rPr>
        <w:t>.</w:t>
      </w:r>
    </w:p>
    <w:p w14:paraId="3AB437D2" w14:textId="59A4C6B8" w:rsidR="00782F7A" w:rsidRPr="00782F7A" w:rsidRDefault="00782F7A" w:rsidP="00782F7A">
      <w:pPr>
        <w:pStyle w:val="ListParagraph"/>
        <w:numPr>
          <w:ilvl w:val="0"/>
          <w:numId w:val="7"/>
        </w:numPr>
        <w:rPr>
          <w:b/>
          <w:bCs/>
          <w:i/>
          <w:iCs/>
        </w:rPr>
      </w:pPr>
      <w:r w:rsidRPr="00C07540">
        <w:rPr>
          <w:b/>
          <w:bCs/>
        </w:rPr>
        <w:t>Other Waste</w:t>
      </w:r>
      <w:r w:rsidRPr="00782F7A">
        <w:rPr>
          <w:b/>
          <w:bCs/>
          <w:i/>
          <w:iCs/>
        </w:rPr>
        <w:t xml:space="preserve"> </w:t>
      </w:r>
      <w:r w:rsidRPr="00782F7A">
        <w:t xml:space="preserve">for waste that does not meet the above descriptions, contact your Safety </w:t>
      </w:r>
      <w:proofErr w:type="gramStart"/>
      <w:r w:rsidRPr="00782F7A">
        <w:t>Office</w:t>
      </w:r>
      <w:proofErr w:type="gramEnd"/>
      <w:r w:rsidRPr="00782F7A">
        <w:t xml:space="preserve"> or waste contractor representative to properly classify unique waste.</w:t>
      </w:r>
    </w:p>
    <w:p w14:paraId="2601E7E1" w14:textId="77777777" w:rsidR="00782F7A" w:rsidRPr="00782F7A" w:rsidRDefault="00782F7A" w:rsidP="00782F7A">
      <w:pPr>
        <w:ind w:left="360"/>
      </w:pPr>
    </w:p>
    <w:p w14:paraId="4CA73D22" w14:textId="60BD9825" w:rsidR="00666402" w:rsidRDefault="00DC4D4C" w:rsidP="4524FA78">
      <w:pPr>
        <w:rPr>
          <w:i/>
          <w:iCs/>
          <w:shd w:val="clear" w:color="auto" w:fill="FFFFFF"/>
        </w:rPr>
      </w:pPr>
      <w:r w:rsidRPr="4524FA78">
        <w:rPr>
          <w:b/>
          <w:bCs/>
          <w:i/>
          <w:iCs/>
        </w:rPr>
        <w:t>NOTE:</w:t>
      </w:r>
      <w:r w:rsidR="00C21D14" w:rsidRPr="4524FA78">
        <w:rPr>
          <w:b/>
          <w:bCs/>
          <w:i/>
          <w:iCs/>
        </w:rPr>
        <w:t xml:space="preserve"> </w:t>
      </w:r>
      <w:r w:rsidRPr="4524FA78">
        <w:rPr>
          <w:i/>
          <w:iCs/>
          <w:shd w:val="clear" w:color="auto" w:fill="FFFFFF"/>
        </w:rPr>
        <w:t>Medical waste is</w:t>
      </w:r>
      <w:r w:rsidR="007722B5">
        <w:rPr>
          <w:i/>
          <w:iCs/>
          <w:shd w:val="clear" w:color="auto" w:fill="FFFFFF"/>
        </w:rPr>
        <w:t xml:space="preserve"> typically</w:t>
      </w:r>
      <w:r w:rsidRPr="4524FA78">
        <w:rPr>
          <w:i/>
          <w:iCs/>
          <w:shd w:val="clear" w:color="auto" w:fill="FFFFFF"/>
        </w:rPr>
        <w:t xml:space="preserve"> regulated by </w:t>
      </w:r>
      <w:r w:rsidR="007722B5">
        <w:rPr>
          <w:i/>
          <w:iCs/>
          <w:shd w:val="clear" w:color="auto" w:fill="FFFFFF"/>
        </w:rPr>
        <w:t xml:space="preserve">a </w:t>
      </w:r>
      <w:r w:rsidRPr="4524FA78">
        <w:rPr>
          <w:i/>
          <w:iCs/>
          <w:shd w:val="clear" w:color="auto" w:fill="FFFFFF"/>
        </w:rPr>
        <w:t xml:space="preserve">state </w:t>
      </w:r>
      <w:r w:rsidR="007722B5">
        <w:rPr>
          <w:i/>
          <w:iCs/>
          <w:shd w:val="clear" w:color="auto" w:fill="FFFFFF"/>
        </w:rPr>
        <w:t>entity charged with enforcement of statutory requirements related to the environment or public</w:t>
      </w:r>
      <w:r w:rsidRPr="4524FA78">
        <w:rPr>
          <w:i/>
          <w:iCs/>
          <w:shd w:val="clear" w:color="auto" w:fill="FFFFFF"/>
        </w:rPr>
        <w:t xml:space="preserve"> health</w:t>
      </w:r>
      <w:r w:rsidR="007722B5">
        <w:rPr>
          <w:i/>
          <w:iCs/>
          <w:shd w:val="clear" w:color="auto" w:fill="FFFFFF"/>
        </w:rPr>
        <w:t>.</w:t>
      </w:r>
      <w:r w:rsidRPr="4524FA78">
        <w:rPr>
          <w:i/>
          <w:iCs/>
          <w:shd w:val="clear" w:color="auto" w:fill="FFFFFF"/>
        </w:rPr>
        <w:t xml:space="preserve"> It is important to </w:t>
      </w:r>
      <w:r w:rsidR="6C142689" w:rsidRPr="4524FA78">
        <w:rPr>
          <w:i/>
          <w:iCs/>
          <w:shd w:val="clear" w:color="auto" w:fill="FFFFFF"/>
        </w:rPr>
        <w:t>review your state and local waste regulations</w:t>
      </w:r>
      <w:r w:rsidR="24527557" w:rsidRPr="4524FA78">
        <w:rPr>
          <w:i/>
          <w:iCs/>
          <w:shd w:val="clear" w:color="auto" w:fill="FFFFFF"/>
        </w:rPr>
        <w:t xml:space="preserve"> and</w:t>
      </w:r>
      <w:r w:rsidR="6C142689" w:rsidRPr="4524FA78">
        <w:rPr>
          <w:i/>
          <w:iCs/>
          <w:shd w:val="clear" w:color="auto" w:fill="FFFFFF"/>
        </w:rPr>
        <w:t xml:space="preserve"> </w:t>
      </w:r>
      <w:r w:rsidR="2C838F5D" w:rsidRPr="4524FA78">
        <w:rPr>
          <w:i/>
          <w:iCs/>
          <w:shd w:val="clear" w:color="auto" w:fill="FFFFFF"/>
        </w:rPr>
        <w:t xml:space="preserve">contact </w:t>
      </w:r>
      <w:r w:rsidR="007722B5">
        <w:rPr>
          <w:i/>
          <w:iCs/>
          <w:shd w:val="clear" w:color="auto" w:fill="FFFFFF"/>
        </w:rPr>
        <w:t xml:space="preserve">the respective authority or authorities in </w:t>
      </w:r>
      <w:r w:rsidR="2C838F5D" w:rsidRPr="4524FA78">
        <w:rPr>
          <w:i/>
          <w:iCs/>
          <w:shd w:val="clear" w:color="auto" w:fill="FFFFFF"/>
        </w:rPr>
        <w:t>your</w:t>
      </w:r>
      <w:r w:rsidRPr="4524FA78">
        <w:rPr>
          <w:i/>
          <w:iCs/>
          <w:shd w:val="clear" w:color="auto" w:fill="FFFFFF"/>
        </w:rPr>
        <w:t xml:space="preserve"> state</w:t>
      </w:r>
      <w:r w:rsidR="007722B5">
        <w:rPr>
          <w:i/>
          <w:iCs/>
          <w:shd w:val="clear" w:color="auto" w:fill="FFFFFF"/>
        </w:rPr>
        <w:t xml:space="preserve"> </w:t>
      </w:r>
      <w:r w:rsidR="5C90C424" w:rsidRPr="4524FA78">
        <w:rPr>
          <w:i/>
          <w:iCs/>
          <w:shd w:val="clear" w:color="auto" w:fill="FFFFFF"/>
        </w:rPr>
        <w:t>prior to implementing procedures for</w:t>
      </w:r>
      <w:r w:rsidR="5C90C424" w:rsidRPr="4524FA78">
        <w:rPr>
          <w:i/>
          <w:iCs/>
          <w:color w:val="FF0000"/>
          <w:shd w:val="clear" w:color="auto" w:fill="FFFFFF"/>
        </w:rPr>
        <w:t xml:space="preserve"> </w:t>
      </w:r>
      <w:r w:rsidRPr="4524FA78">
        <w:rPr>
          <w:i/>
          <w:iCs/>
          <w:shd w:val="clear" w:color="auto" w:fill="FFFFFF"/>
        </w:rPr>
        <w:t xml:space="preserve">disposing of medical waste. </w:t>
      </w:r>
    </w:p>
    <w:p w14:paraId="64829EA1" w14:textId="77777777" w:rsidR="00666402" w:rsidRPr="00666402" w:rsidRDefault="00666402" w:rsidP="4524FA78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6391" w14:paraId="3D524504" w14:textId="77777777" w:rsidTr="00177E11">
        <w:tc>
          <w:tcPr>
            <w:tcW w:w="4675" w:type="dxa"/>
            <w:shd w:val="clear" w:color="auto" w:fill="D9E2F3" w:themeFill="accent1" w:themeFillTint="33"/>
          </w:tcPr>
          <w:p w14:paraId="60E39EC3" w14:textId="0830FAA6" w:rsidR="008C6391" w:rsidRDefault="008C6391" w:rsidP="008C6391">
            <w:pPr>
              <w:jc w:val="center"/>
              <w:rPr>
                <w:shd w:val="clear" w:color="auto" w:fill="FFFFFF"/>
              </w:rPr>
            </w:pPr>
            <w:r>
              <w:t>Issue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174E990D" w14:textId="023D8330" w:rsidR="008C6391" w:rsidRPr="009405E5" w:rsidRDefault="008C6391" w:rsidP="008C6391">
            <w:pPr>
              <w:jc w:val="center"/>
              <w:rPr>
                <w:shd w:val="clear" w:color="auto" w:fill="FFFFFF"/>
              </w:rPr>
            </w:pPr>
            <w:r>
              <w:t>Recommendation</w:t>
            </w:r>
          </w:p>
        </w:tc>
      </w:tr>
      <w:tr w:rsidR="009405E5" w14:paraId="359E2ACE" w14:textId="77777777" w:rsidTr="001C5B31">
        <w:tc>
          <w:tcPr>
            <w:tcW w:w="4675" w:type="dxa"/>
            <w:tcBorders>
              <w:top w:val="nil"/>
            </w:tcBorders>
          </w:tcPr>
          <w:p w14:paraId="1601750B" w14:textId="5C7EB583" w:rsidR="009405E5" w:rsidRPr="009405E5" w:rsidRDefault="009405E5" w:rsidP="009405E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Workers not trained about hazards associated with exposure to clinical and laboratory waste</w:t>
            </w:r>
          </w:p>
        </w:tc>
        <w:tc>
          <w:tcPr>
            <w:tcW w:w="4675" w:type="dxa"/>
          </w:tcPr>
          <w:p w14:paraId="50F3D779" w14:textId="0372FE14" w:rsidR="009405E5" w:rsidRPr="009405E5" w:rsidRDefault="009405E5" w:rsidP="009405E5">
            <w:pPr>
              <w:rPr>
                <w:shd w:val="clear" w:color="auto" w:fill="FFFFFF"/>
              </w:rPr>
            </w:pPr>
            <w:r w:rsidRPr="009405E5">
              <w:rPr>
                <w:shd w:val="clear" w:color="auto" w:fill="FFFFFF"/>
              </w:rPr>
              <w:t>Train (initial and refresher) all workers in hazard awareness, prevention, and control of exposures to hazardous laboratory waste</w:t>
            </w:r>
          </w:p>
        </w:tc>
      </w:tr>
      <w:tr w:rsidR="00666402" w14:paraId="23B8A090" w14:textId="77777777" w:rsidTr="00666402">
        <w:tc>
          <w:tcPr>
            <w:tcW w:w="4675" w:type="dxa"/>
          </w:tcPr>
          <w:p w14:paraId="61541DE5" w14:textId="2880FDB0" w:rsidR="00666402" w:rsidRPr="00A120FD" w:rsidRDefault="00666402" w:rsidP="4524FA78">
            <w:pPr>
              <w:rPr>
                <w:shd w:val="clear" w:color="auto" w:fill="FFFFFF"/>
              </w:rPr>
            </w:pPr>
            <w:r w:rsidRPr="00A120FD">
              <w:rPr>
                <w:shd w:val="clear" w:color="auto" w:fill="FFFFFF"/>
              </w:rPr>
              <w:t xml:space="preserve">Improper </w:t>
            </w:r>
            <w:r w:rsidR="00A120FD" w:rsidRPr="00A120FD">
              <w:rPr>
                <w:shd w:val="clear" w:color="auto" w:fill="FFFFFF"/>
              </w:rPr>
              <w:t xml:space="preserve">labelling, </w:t>
            </w:r>
            <w:r w:rsidRPr="00A120FD">
              <w:rPr>
                <w:shd w:val="clear" w:color="auto" w:fill="FFFFFF"/>
              </w:rPr>
              <w:t>segregation</w:t>
            </w:r>
            <w:r w:rsidR="00A120FD" w:rsidRPr="00A120FD">
              <w:rPr>
                <w:shd w:val="clear" w:color="auto" w:fill="FFFFFF"/>
              </w:rPr>
              <w:t>, processing, storage, transport, and disposal</w:t>
            </w:r>
            <w:r w:rsidRPr="00A120FD">
              <w:rPr>
                <w:shd w:val="clear" w:color="auto" w:fill="FFFFFF"/>
              </w:rPr>
              <w:t xml:space="preserve"> of laboratory waste (e.g., general waste versus biohazardous waste)</w:t>
            </w:r>
          </w:p>
        </w:tc>
        <w:tc>
          <w:tcPr>
            <w:tcW w:w="4675" w:type="dxa"/>
          </w:tcPr>
          <w:p w14:paraId="7EC4B411" w14:textId="77777777" w:rsidR="00666402" w:rsidRDefault="00A120FD" w:rsidP="4524FA78">
            <w:pPr>
              <w:rPr>
                <w:shd w:val="clear" w:color="auto" w:fill="FFFFFF"/>
              </w:rPr>
            </w:pPr>
            <w:r w:rsidRPr="00A120FD">
              <w:rPr>
                <w:shd w:val="clear" w:color="auto" w:fill="FFFFFF"/>
              </w:rPr>
              <w:t>Review your current policies and practices to ensure proper labelling, segregation, processing, storage, transport, and disposal of laboratory waste</w:t>
            </w:r>
          </w:p>
          <w:p w14:paraId="730BB8AC" w14:textId="1FC16E5D" w:rsidR="009405E5" w:rsidRPr="00A120FD" w:rsidRDefault="009405E5" w:rsidP="4524FA7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At least annually conduct a survey/inspection of areas where operations generate regulated waste  </w:t>
            </w:r>
          </w:p>
        </w:tc>
      </w:tr>
      <w:tr w:rsidR="00666402" w14:paraId="2245AA42" w14:textId="77777777" w:rsidTr="00666402">
        <w:tc>
          <w:tcPr>
            <w:tcW w:w="4675" w:type="dxa"/>
          </w:tcPr>
          <w:p w14:paraId="7CF4745F" w14:textId="614A2CF6" w:rsidR="00666402" w:rsidRPr="00A120FD" w:rsidRDefault="00666402" w:rsidP="4524FA78">
            <w:pPr>
              <w:rPr>
                <w:shd w:val="clear" w:color="auto" w:fill="FFFFFF"/>
              </w:rPr>
            </w:pPr>
            <w:r w:rsidRPr="00A120FD">
              <w:rPr>
                <w:shd w:val="clear" w:color="auto" w:fill="FFFFFF"/>
              </w:rPr>
              <w:t>Mixing of different types of waste – chemical, biological, sharps</w:t>
            </w:r>
          </w:p>
        </w:tc>
        <w:tc>
          <w:tcPr>
            <w:tcW w:w="4675" w:type="dxa"/>
          </w:tcPr>
          <w:p w14:paraId="49216C54" w14:textId="6BDBE9B6" w:rsidR="00666402" w:rsidRPr="00A120FD" w:rsidRDefault="00A120FD" w:rsidP="4524FA78">
            <w:pPr>
              <w:rPr>
                <w:shd w:val="clear" w:color="auto" w:fill="FFFFFF"/>
              </w:rPr>
            </w:pPr>
            <w:r w:rsidRPr="00A120FD">
              <w:rPr>
                <w:shd w:val="clear" w:color="auto" w:fill="FFFFFF"/>
              </w:rPr>
              <w:t xml:space="preserve">Do not comingle chemical, </w:t>
            </w:r>
            <w:proofErr w:type="gramStart"/>
            <w:r w:rsidRPr="00A120FD">
              <w:rPr>
                <w:shd w:val="clear" w:color="auto" w:fill="FFFFFF"/>
              </w:rPr>
              <w:t>biological</w:t>
            </w:r>
            <w:proofErr w:type="gramEnd"/>
            <w:r w:rsidRPr="00A120FD">
              <w:rPr>
                <w:shd w:val="clear" w:color="auto" w:fill="FFFFFF"/>
              </w:rPr>
              <w:t xml:space="preserve"> and uncontaminated laboratory waste</w:t>
            </w:r>
          </w:p>
        </w:tc>
      </w:tr>
      <w:tr w:rsidR="00666402" w14:paraId="66D8EBB3" w14:textId="77777777" w:rsidTr="00666402">
        <w:tc>
          <w:tcPr>
            <w:tcW w:w="4675" w:type="dxa"/>
          </w:tcPr>
          <w:p w14:paraId="65A17459" w14:textId="56C78CC5" w:rsidR="00666402" w:rsidRPr="00A120FD" w:rsidRDefault="00666402" w:rsidP="4524FA78">
            <w:pPr>
              <w:rPr>
                <w:shd w:val="clear" w:color="auto" w:fill="FFFFFF"/>
              </w:rPr>
            </w:pPr>
            <w:r w:rsidRPr="00A120FD">
              <w:rPr>
                <w:shd w:val="clear" w:color="auto" w:fill="FFFFFF"/>
              </w:rPr>
              <w:t>Use of improper containers for laboratory waste segregation</w:t>
            </w:r>
          </w:p>
        </w:tc>
        <w:tc>
          <w:tcPr>
            <w:tcW w:w="4675" w:type="dxa"/>
          </w:tcPr>
          <w:p w14:paraId="7DF97A62" w14:textId="5F004F77" w:rsidR="00666402" w:rsidRPr="00A120FD" w:rsidRDefault="00A120FD" w:rsidP="4524FA78">
            <w:pPr>
              <w:rPr>
                <w:shd w:val="clear" w:color="auto" w:fill="FFFFFF"/>
              </w:rPr>
            </w:pPr>
            <w:r w:rsidRPr="00A120FD">
              <w:rPr>
                <w:shd w:val="clear" w:color="auto" w:fill="FFFFFF"/>
              </w:rPr>
              <w:t>Provide containers</w:t>
            </w:r>
            <w:r w:rsidR="009405E5">
              <w:rPr>
                <w:shd w:val="clear" w:color="auto" w:fill="FFFFFF"/>
              </w:rPr>
              <w:t xml:space="preserve"> that meet or exceed</w:t>
            </w:r>
            <w:r w:rsidR="004A3F8A">
              <w:rPr>
                <w:shd w:val="clear" w:color="auto" w:fill="FFFFFF"/>
              </w:rPr>
              <w:t xml:space="preserve"> regulatory specifications </w:t>
            </w:r>
            <w:r w:rsidRPr="00A120FD">
              <w:rPr>
                <w:shd w:val="clear" w:color="auto" w:fill="FFFFFF"/>
              </w:rPr>
              <w:t>for each regulated waste stream</w:t>
            </w:r>
          </w:p>
        </w:tc>
      </w:tr>
      <w:tr w:rsidR="002D2B22" w14:paraId="7F917181" w14:textId="77777777" w:rsidTr="00970F1C">
        <w:tc>
          <w:tcPr>
            <w:tcW w:w="4675" w:type="dxa"/>
            <w:shd w:val="clear" w:color="auto" w:fill="D9E2F3" w:themeFill="accent1" w:themeFillTint="33"/>
          </w:tcPr>
          <w:p w14:paraId="0A0F755C" w14:textId="57A767E9" w:rsidR="002D2B22" w:rsidRPr="00A120FD" w:rsidRDefault="002D2B22" w:rsidP="002D2B22">
            <w:pPr>
              <w:jc w:val="center"/>
              <w:rPr>
                <w:shd w:val="clear" w:color="auto" w:fill="FFFFFF"/>
              </w:rPr>
            </w:pPr>
            <w:r>
              <w:lastRenderedPageBreak/>
              <w:t>Issue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0E1610DC" w14:textId="4C4A4477" w:rsidR="002D2B22" w:rsidRDefault="002D2B22" w:rsidP="002D2B22">
            <w:pPr>
              <w:jc w:val="center"/>
              <w:rPr>
                <w:shd w:val="clear" w:color="auto" w:fill="FFFFFF"/>
              </w:rPr>
            </w:pPr>
            <w:r>
              <w:t>Recommendation</w:t>
            </w:r>
          </w:p>
        </w:tc>
      </w:tr>
      <w:tr w:rsidR="00666402" w14:paraId="39ACC8CF" w14:textId="77777777" w:rsidTr="00666402">
        <w:tc>
          <w:tcPr>
            <w:tcW w:w="4675" w:type="dxa"/>
          </w:tcPr>
          <w:p w14:paraId="2AD713A9" w14:textId="217A5F86" w:rsidR="00666402" w:rsidRPr="00A120FD" w:rsidRDefault="00666402" w:rsidP="4524FA78">
            <w:pPr>
              <w:rPr>
                <w:shd w:val="clear" w:color="auto" w:fill="FFFFFF"/>
              </w:rPr>
            </w:pPr>
            <w:r w:rsidRPr="00A120FD">
              <w:rPr>
                <w:shd w:val="clear" w:color="auto" w:fill="FFFFFF"/>
              </w:rPr>
              <w:t>Improper labeling of laboratory waste (especially regulated medical waste)</w:t>
            </w:r>
          </w:p>
        </w:tc>
        <w:tc>
          <w:tcPr>
            <w:tcW w:w="4675" w:type="dxa"/>
          </w:tcPr>
          <w:p w14:paraId="181A07E0" w14:textId="41FECEE9" w:rsidR="00666402" w:rsidRPr="00A120FD" w:rsidRDefault="009405E5" w:rsidP="4524FA7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Ensure that </w:t>
            </w:r>
            <w:r w:rsidR="00A120FD">
              <w:rPr>
                <w:shd w:val="clear" w:color="auto" w:fill="FFFFFF"/>
              </w:rPr>
              <w:t xml:space="preserve">clinical and biomedical waste containers </w:t>
            </w:r>
            <w:r>
              <w:rPr>
                <w:shd w:val="clear" w:color="auto" w:fill="FFFFFF"/>
              </w:rPr>
              <w:t xml:space="preserve">are labelled </w:t>
            </w:r>
            <w:r w:rsidR="00A120FD">
              <w:rPr>
                <w:shd w:val="clear" w:color="auto" w:fill="FFFFFF"/>
              </w:rPr>
              <w:t>with the bio</w:t>
            </w:r>
            <w:r>
              <w:rPr>
                <w:shd w:val="clear" w:color="auto" w:fill="FFFFFF"/>
              </w:rPr>
              <w:t xml:space="preserve">hazard symbol </w:t>
            </w:r>
          </w:p>
        </w:tc>
      </w:tr>
      <w:tr w:rsidR="00666402" w14:paraId="4B9827CC" w14:textId="77777777" w:rsidTr="00666402">
        <w:tc>
          <w:tcPr>
            <w:tcW w:w="4675" w:type="dxa"/>
          </w:tcPr>
          <w:p w14:paraId="34A07C06" w14:textId="56C904DB" w:rsidR="00666402" w:rsidRPr="00A120FD" w:rsidRDefault="00666402" w:rsidP="4524FA78">
            <w:pPr>
              <w:rPr>
                <w:shd w:val="clear" w:color="auto" w:fill="FFFFFF"/>
              </w:rPr>
            </w:pPr>
            <w:r w:rsidRPr="00A120FD">
              <w:rPr>
                <w:shd w:val="clear" w:color="auto" w:fill="FFFFFF"/>
              </w:rPr>
              <w:t>Improper segregation and disposal of sharps</w:t>
            </w:r>
          </w:p>
        </w:tc>
        <w:tc>
          <w:tcPr>
            <w:tcW w:w="4675" w:type="dxa"/>
          </w:tcPr>
          <w:p w14:paraId="0BC2CF52" w14:textId="529B596F" w:rsidR="00666402" w:rsidRPr="00A120FD" w:rsidRDefault="009405E5" w:rsidP="4524FA7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Dispose of sharps into a puncture-proof container labelled with the biohazard symbol that is capped when not in use </w:t>
            </w:r>
          </w:p>
        </w:tc>
      </w:tr>
      <w:tr w:rsidR="00666402" w14:paraId="3937E604" w14:textId="77777777" w:rsidTr="00666402">
        <w:tc>
          <w:tcPr>
            <w:tcW w:w="4675" w:type="dxa"/>
          </w:tcPr>
          <w:p w14:paraId="273BA0FE" w14:textId="4C27C358" w:rsidR="00666402" w:rsidRPr="00A120FD" w:rsidRDefault="00666402" w:rsidP="4524FA78">
            <w:pPr>
              <w:rPr>
                <w:shd w:val="clear" w:color="auto" w:fill="FFFFFF"/>
              </w:rPr>
            </w:pPr>
            <w:r w:rsidRPr="00A120FD">
              <w:rPr>
                <w:shd w:val="clear" w:color="auto" w:fill="FFFFFF"/>
              </w:rPr>
              <w:t>Overfilling of waste bags/containers, including sharps containers.</w:t>
            </w:r>
          </w:p>
        </w:tc>
        <w:tc>
          <w:tcPr>
            <w:tcW w:w="4675" w:type="dxa"/>
          </w:tcPr>
          <w:p w14:paraId="7BB1E9A7" w14:textId="6E5338DA" w:rsidR="009405E5" w:rsidRPr="009405E5" w:rsidRDefault="009405E5" w:rsidP="009405E5">
            <w:pPr>
              <w:rPr>
                <w:shd w:val="clear" w:color="auto" w:fill="FFFFFF"/>
              </w:rPr>
            </w:pPr>
            <w:r w:rsidRPr="009405E5">
              <w:rPr>
                <w:shd w:val="clear" w:color="auto" w:fill="FFFFFF"/>
              </w:rPr>
              <w:t>Hazardous waste containers (including sharps containers):</w:t>
            </w:r>
          </w:p>
          <w:p w14:paraId="735D9996" w14:textId="17B3499A" w:rsidR="009405E5" w:rsidRPr="009405E5" w:rsidRDefault="009405E5" w:rsidP="009405E5">
            <w:pPr>
              <w:rPr>
                <w:shd w:val="clear" w:color="auto" w:fill="FFFFFF"/>
              </w:rPr>
            </w:pPr>
            <w:r w:rsidRPr="009405E5">
              <w:rPr>
                <w:shd w:val="clear" w:color="auto" w:fill="FFFFFF"/>
              </w:rPr>
              <w:t>Must be rigid with a lid</w:t>
            </w:r>
          </w:p>
          <w:p w14:paraId="68D9FB50" w14:textId="6C187321" w:rsidR="009405E5" w:rsidRPr="009405E5" w:rsidRDefault="009405E5" w:rsidP="009405E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Must not be filled over 75% volume</w:t>
            </w:r>
          </w:p>
          <w:p w14:paraId="0D8B1497" w14:textId="68609F21" w:rsidR="009405E5" w:rsidRPr="009405E5" w:rsidRDefault="009405E5" w:rsidP="009405E5">
            <w:pPr>
              <w:rPr>
                <w:shd w:val="clear" w:color="auto" w:fill="FFFFFF"/>
              </w:rPr>
            </w:pPr>
            <w:r w:rsidRPr="009405E5">
              <w:rPr>
                <w:shd w:val="clear" w:color="auto" w:fill="FFFFFF"/>
              </w:rPr>
              <w:t xml:space="preserve">Lids must be kept on containers at all times </w:t>
            </w:r>
            <w:r>
              <w:rPr>
                <w:shd w:val="clear" w:color="auto" w:fill="FFFFFF"/>
              </w:rPr>
              <w:t xml:space="preserve">when not in use </w:t>
            </w:r>
          </w:p>
          <w:p w14:paraId="359BE89F" w14:textId="044C2FE9" w:rsidR="00666402" w:rsidRPr="00A120FD" w:rsidRDefault="009405E5" w:rsidP="009405E5">
            <w:pPr>
              <w:rPr>
                <w:shd w:val="clear" w:color="auto" w:fill="FFFFFF"/>
              </w:rPr>
            </w:pPr>
            <w:r w:rsidRPr="009405E5">
              <w:rPr>
                <w:shd w:val="clear" w:color="auto" w:fill="FFFFFF"/>
              </w:rPr>
              <w:t>Biohazard bags must be kept inside a closed biohazard waste container at all times</w:t>
            </w:r>
          </w:p>
        </w:tc>
      </w:tr>
      <w:tr w:rsidR="00666402" w14:paraId="24122D6F" w14:textId="77777777" w:rsidTr="00666402">
        <w:tc>
          <w:tcPr>
            <w:tcW w:w="4675" w:type="dxa"/>
          </w:tcPr>
          <w:p w14:paraId="30800185" w14:textId="749931B2" w:rsidR="00666402" w:rsidRPr="008C6391" w:rsidRDefault="00666402" w:rsidP="4524FA78">
            <w:pPr>
              <w:rPr>
                <w:shd w:val="clear" w:color="auto" w:fill="FFFFFF"/>
              </w:rPr>
            </w:pPr>
            <w:r w:rsidRPr="008C6391">
              <w:rPr>
                <w:shd w:val="clear" w:color="auto" w:fill="FFFFFF"/>
              </w:rPr>
              <w:t>Improper transport of laboratory waste (especially regulated medical waste)</w:t>
            </w:r>
          </w:p>
        </w:tc>
        <w:tc>
          <w:tcPr>
            <w:tcW w:w="4675" w:type="dxa"/>
          </w:tcPr>
          <w:p w14:paraId="39C70B88" w14:textId="2718BCB6" w:rsidR="00666402" w:rsidRPr="008C6391" w:rsidRDefault="008C6391" w:rsidP="4524FA78">
            <w:pPr>
              <w:rPr>
                <w:shd w:val="clear" w:color="auto" w:fill="FFFFFF"/>
              </w:rPr>
            </w:pPr>
            <w:r w:rsidRPr="008C6391">
              <w:rPr>
                <w:shd w:val="clear" w:color="auto" w:fill="FFFFFF"/>
              </w:rPr>
              <w:t>Transport the biohazard waste bags inside a hard secondary container labeled with the biohazard symbol with closed lid – Do not carry by hand</w:t>
            </w:r>
          </w:p>
        </w:tc>
      </w:tr>
      <w:tr w:rsidR="00666402" w14:paraId="56BE1EA9" w14:textId="77777777" w:rsidTr="00666402">
        <w:tc>
          <w:tcPr>
            <w:tcW w:w="4675" w:type="dxa"/>
          </w:tcPr>
          <w:p w14:paraId="08096C34" w14:textId="279BA093" w:rsidR="00666402" w:rsidRPr="008C6391" w:rsidRDefault="00666402" w:rsidP="4524FA78">
            <w:pPr>
              <w:rPr>
                <w:shd w:val="clear" w:color="auto" w:fill="FFFFFF"/>
              </w:rPr>
            </w:pPr>
            <w:r w:rsidRPr="008C6391">
              <w:rPr>
                <w:shd w:val="clear" w:color="auto" w:fill="FFFFFF"/>
              </w:rPr>
              <w:t>Improper storage of laboratory waste (especially regulated medical waste and chemical waste)</w:t>
            </w:r>
          </w:p>
        </w:tc>
        <w:tc>
          <w:tcPr>
            <w:tcW w:w="4675" w:type="dxa"/>
          </w:tcPr>
          <w:p w14:paraId="77AA329E" w14:textId="27CBB3CD" w:rsidR="00666402" w:rsidRDefault="008C6391" w:rsidP="4524FA78">
            <w:pPr>
              <w:rPr>
                <w:shd w:val="clear" w:color="auto" w:fill="FFFFFF"/>
              </w:rPr>
            </w:pPr>
            <w:r w:rsidRPr="008C6391">
              <w:rPr>
                <w:shd w:val="clear" w:color="auto" w:fill="FFFFFF"/>
              </w:rPr>
              <w:t>Store waste in a dedicated storage space labeled with the appropriate hazard warning signage. Do not store biohazard waste bags on the floor, in an autoclave pan, on a cart, or on top of containers</w:t>
            </w:r>
            <w:r w:rsidR="002D2B22">
              <w:rPr>
                <w:shd w:val="clear" w:color="auto" w:fill="FFFFFF"/>
              </w:rPr>
              <w:t>.</w:t>
            </w:r>
          </w:p>
          <w:p w14:paraId="6C88CA19" w14:textId="4CBD85C1" w:rsidR="002D2B22" w:rsidRPr="008C6391" w:rsidRDefault="002D2B22" w:rsidP="4524FA7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Obtain any necessary permits for waste storage.</w:t>
            </w:r>
          </w:p>
        </w:tc>
      </w:tr>
      <w:tr w:rsidR="00666402" w14:paraId="79A0F2ED" w14:textId="77777777" w:rsidTr="00666402">
        <w:tc>
          <w:tcPr>
            <w:tcW w:w="4675" w:type="dxa"/>
          </w:tcPr>
          <w:p w14:paraId="56AB23B7" w14:textId="7FC3B85C" w:rsidR="00666402" w:rsidRPr="008C6391" w:rsidRDefault="00666402" w:rsidP="4524FA78">
            <w:pPr>
              <w:rPr>
                <w:shd w:val="clear" w:color="auto" w:fill="FFFFFF"/>
              </w:rPr>
            </w:pPr>
            <w:r w:rsidRPr="008C6391">
              <w:rPr>
                <w:shd w:val="clear" w:color="auto" w:fill="FFFFFF"/>
              </w:rPr>
              <w:t>Improper treatment (processing) and/or disposal of waste</w:t>
            </w:r>
          </w:p>
        </w:tc>
        <w:tc>
          <w:tcPr>
            <w:tcW w:w="4675" w:type="dxa"/>
          </w:tcPr>
          <w:p w14:paraId="0D1878CD" w14:textId="326767C3" w:rsidR="00666402" w:rsidRDefault="002D7330" w:rsidP="4524FA7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Regulated solid waste must be decontaminated by a validated method, typically using an EPA-approved chemical </w:t>
            </w:r>
            <w:r w:rsidR="002D2B22">
              <w:rPr>
                <w:shd w:val="clear" w:color="auto" w:fill="FFFFFF"/>
              </w:rPr>
              <w:t xml:space="preserve">or </w:t>
            </w:r>
            <w:r>
              <w:rPr>
                <w:shd w:val="clear" w:color="auto" w:fill="FFFFFF"/>
              </w:rPr>
              <w:t>treatment or by steam under pressure.</w:t>
            </w:r>
          </w:p>
          <w:p w14:paraId="7E861A03" w14:textId="2E544478" w:rsidR="002D7330" w:rsidRPr="008C6391" w:rsidRDefault="002D7330" w:rsidP="4524FA7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Liquid waste</w:t>
            </w:r>
            <w:r w:rsidR="002D2B22">
              <w:rPr>
                <w:shd w:val="clear" w:color="auto" w:fill="FFFFFF"/>
              </w:rPr>
              <w:t xml:space="preserve"> is typically chemically treated prior to disposal into the municipal sewer.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666402" w14:paraId="30CF9CBB" w14:textId="77777777" w:rsidTr="00666402">
        <w:tc>
          <w:tcPr>
            <w:tcW w:w="4675" w:type="dxa"/>
          </w:tcPr>
          <w:p w14:paraId="2E946875" w14:textId="048430F3" w:rsidR="00666402" w:rsidRPr="008C6391" w:rsidRDefault="00666402" w:rsidP="4524FA78">
            <w:pPr>
              <w:rPr>
                <w:shd w:val="clear" w:color="auto" w:fill="FFFFFF"/>
              </w:rPr>
            </w:pPr>
            <w:r w:rsidRPr="008C6391">
              <w:rPr>
                <w:shd w:val="clear" w:color="auto" w:fill="FFFFFF"/>
              </w:rPr>
              <w:t>Improper classification/prioritization of mixed waste for disposal</w:t>
            </w:r>
          </w:p>
        </w:tc>
        <w:tc>
          <w:tcPr>
            <w:tcW w:w="4675" w:type="dxa"/>
          </w:tcPr>
          <w:p w14:paraId="0E781BCF" w14:textId="5DA0BEA7" w:rsidR="00666402" w:rsidRPr="008C6391" w:rsidRDefault="002D2B22" w:rsidP="4524FA7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Classify regulated waste according to your state regulations.  Do not mix regulated waste streams.</w:t>
            </w:r>
          </w:p>
        </w:tc>
      </w:tr>
      <w:tr w:rsidR="00666402" w14:paraId="7A9512F4" w14:textId="77777777" w:rsidTr="00666402">
        <w:tc>
          <w:tcPr>
            <w:tcW w:w="4675" w:type="dxa"/>
          </w:tcPr>
          <w:p w14:paraId="27BC852E" w14:textId="3821A6F4" w:rsidR="00666402" w:rsidRPr="008C6391" w:rsidRDefault="00666402" w:rsidP="4524FA78">
            <w:pPr>
              <w:rPr>
                <w:shd w:val="clear" w:color="auto" w:fill="FFFFFF"/>
              </w:rPr>
            </w:pPr>
            <w:r w:rsidRPr="008C6391">
              <w:rPr>
                <w:shd w:val="clear" w:color="auto" w:fill="FFFFFF"/>
              </w:rPr>
              <w:t>Improper or unvalidated inactivation methods and procedures, i.e., steam sterilization or chemical inactivation of biohazardous waste</w:t>
            </w:r>
          </w:p>
        </w:tc>
        <w:tc>
          <w:tcPr>
            <w:tcW w:w="4675" w:type="dxa"/>
          </w:tcPr>
          <w:p w14:paraId="6504D99E" w14:textId="77777777" w:rsidR="00666402" w:rsidRDefault="002D2B22" w:rsidP="4524FA7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</w:t>
            </w:r>
            <w:r w:rsidRPr="002D2B22">
              <w:rPr>
                <w:shd w:val="clear" w:color="auto" w:fill="FFFFFF"/>
              </w:rPr>
              <w:t xml:space="preserve">ach load of </w:t>
            </w:r>
            <w:r>
              <w:rPr>
                <w:shd w:val="clear" w:color="auto" w:fill="FFFFFF"/>
              </w:rPr>
              <w:t xml:space="preserve">solid </w:t>
            </w:r>
            <w:r w:rsidRPr="002D2B22">
              <w:rPr>
                <w:shd w:val="clear" w:color="auto" w:fill="FFFFFF"/>
              </w:rPr>
              <w:t>regulated waste to be processed prior to disposal must include a microbial challenge to verify sterilization is complete.</w:t>
            </w:r>
            <w:r>
              <w:rPr>
                <w:shd w:val="clear" w:color="auto" w:fill="FFFFFF"/>
              </w:rPr>
              <w:t xml:space="preserve"> </w:t>
            </w:r>
          </w:p>
          <w:p w14:paraId="064E07FC" w14:textId="5079F1EC" w:rsidR="002D2B22" w:rsidRPr="008C6391" w:rsidRDefault="002D2B22" w:rsidP="4524FA7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Select an </w:t>
            </w:r>
            <w:hyperlink r:id="rId15" w:history="1">
              <w:r w:rsidRPr="002D2B22">
                <w:rPr>
                  <w:rStyle w:val="Hyperlink"/>
                  <w:shd w:val="clear" w:color="auto" w:fill="FFFFFF"/>
                </w:rPr>
                <w:t>EPA-registered</w:t>
              </w:r>
            </w:hyperlink>
            <w:r>
              <w:rPr>
                <w:shd w:val="clear" w:color="auto" w:fill="FFFFFF"/>
              </w:rPr>
              <w:t xml:space="preserve"> disinfectant for use in chemical inactivation of regulated liquid waste contaminated with biological agents. </w:t>
            </w:r>
          </w:p>
        </w:tc>
      </w:tr>
    </w:tbl>
    <w:p w14:paraId="4A47ED82" w14:textId="0350C521" w:rsidR="00DC4D4C" w:rsidRPr="006E38F7" w:rsidRDefault="00DC4D4C" w:rsidP="4524FA78">
      <w:pPr>
        <w:rPr>
          <w:i/>
          <w:iCs/>
          <w:shd w:val="clear" w:color="auto" w:fill="FFFFFF"/>
        </w:rPr>
      </w:pPr>
    </w:p>
    <w:p w14:paraId="07B92E0C" w14:textId="589F2BF7" w:rsidR="00932785" w:rsidRPr="00296E40" w:rsidRDefault="002D2B22" w:rsidP="00296E40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bookmarkStart w:id="2" w:name="_Toc101866830"/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Additional </w:t>
      </w:r>
      <w:r w:rsidR="00F442F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information</w:t>
      </w:r>
      <w:bookmarkEnd w:id="2"/>
    </w:p>
    <w:p w14:paraId="75C8F2D4" w14:textId="77777777" w:rsidR="007944BE" w:rsidRPr="00C21A81" w:rsidRDefault="007944BE" w:rsidP="007944BE">
      <w:pPr>
        <w:pStyle w:val="ListParagraph"/>
      </w:pPr>
    </w:p>
    <w:p w14:paraId="4A275484" w14:textId="5CDE34DE" w:rsidR="00E72179" w:rsidRDefault="00E72179" w:rsidP="00CC3737">
      <w:pPr>
        <w:pStyle w:val="ListParagraph"/>
        <w:numPr>
          <w:ilvl w:val="0"/>
          <w:numId w:val="6"/>
        </w:numPr>
      </w:pPr>
      <w:r>
        <w:t xml:space="preserve">Develop and implement a </w:t>
      </w:r>
      <w:r w:rsidR="00221728">
        <w:t>Chemical Hygiene Plan</w:t>
      </w:r>
      <w:r>
        <w:t xml:space="preserve"> that includes information about exposure hazards and methods to control them</w:t>
      </w:r>
    </w:p>
    <w:p w14:paraId="517FAD2B" w14:textId="0A7A917B" w:rsidR="00F6460D" w:rsidRDefault="00E97255" w:rsidP="00F6460D">
      <w:pPr>
        <w:pStyle w:val="ListParagraph"/>
        <w:numPr>
          <w:ilvl w:val="0"/>
          <w:numId w:val="6"/>
        </w:numPr>
      </w:pPr>
      <w:r>
        <w:t>Provid</w:t>
      </w:r>
      <w:r w:rsidR="00F6460D">
        <w:t>e</w:t>
      </w:r>
      <w:r>
        <w:t xml:space="preserve"> </w:t>
      </w:r>
      <w:r w:rsidR="00E72179">
        <w:t xml:space="preserve">safety data sheets (SDSs) </w:t>
      </w:r>
      <w:r w:rsidR="00F442FC">
        <w:t xml:space="preserve">for each chemical </w:t>
      </w:r>
      <w:r w:rsidR="00221728">
        <w:t>in your inventory</w:t>
      </w:r>
      <w:r w:rsidR="00F442FC">
        <w:t xml:space="preserve"> </w:t>
      </w:r>
    </w:p>
    <w:p w14:paraId="3C3EBB32" w14:textId="340EB358" w:rsidR="00E72179" w:rsidRDefault="00E72179" w:rsidP="00F6460D">
      <w:pPr>
        <w:pStyle w:val="ListParagraph"/>
        <w:numPr>
          <w:ilvl w:val="0"/>
          <w:numId w:val="6"/>
        </w:numPr>
      </w:pPr>
      <w:r>
        <w:lastRenderedPageBreak/>
        <w:t>Train workers as required by OSHA’s Hazard Communication Standard (</w:t>
      </w:r>
      <w:hyperlink r:id="rId16" w:history="1">
        <w:r w:rsidRPr="00221728">
          <w:rPr>
            <w:rStyle w:val="Hyperlink"/>
          </w:rPr>
          <w:t>29 CFR 1910.1200</w:t>
        </w:r>
      </w:hyperlink>
      <w:r>
        <w:t>)</w:t>
      </w:r>
      <w:r w:rsidR="00834D90">
        <w:t xml:space="preserve"> or Laboratory Standard (</w:t>
      </w:r>
      <w:bookmarkStart w:id="3" w:name="_Hlk96718171"/>
      <w:r w:rsidR="00F200B0">
        <w:fldChar w:fldCharType="begin"/>
      </w:r>
      <w:r w:rsidR="00F200B0">
        <w:instrText xml:space="preserve"> HYPERLINK "https://www.osha.gov/laws-regs/regulations/standardnumber/1910/1910.1450" </w:instrText>
      </w:r>
      <w:r w:rsidR="00F200B0">
        <w:fldChar w:fldCharType="separate"/>
      </w:r>
      <w:r w:rsidR="00834D90" w:rsidRPr="00F200B0">
        <w:rPr>
          <w:rStyle w:val="Hyperlink"/>
        </w:rPr>
        <w:t>29 CFR 1910.1450</w:t>
      </w:r>
      <w:r w:rsidR="00F200B0">
        <w:fldChar w:fldCharType="end"/>
      </w:r>
      <w:bookmarkEnd w:id="3"/>
      <w:r w:rsidR="00834D90">
        <w:t>), as applicable</w:t>
      </w:r>
    </w:p>
    <w:p w14:paraId="306400FF" w14:textId="1A9F33F7" w:rsidR="00DA7093" w:rsidRPr="00296E40" w:rsidRDefault="00DA7093" w:rsidP="00296E40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bookmarkStart w:id="4" w:name="_Toc101866831"/>
      <w:r w:rsidRPr="00296E40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Applicable </w:t>
      </w:r>
      <w:r w:rsidR="00296E40" w:rsidRPr="00296E40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R</w:t>
      </w:r>
      <w:r w:rsidRPr="00296E40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egulations</w:t>
      </w:r>
      <w:r w:rsidR="008577E2" w:rsidRPr="00296E40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 and</w:t>
      </w:r>
      <w:r w:rsidR="00F31F8C" w:rsidRPr="00296E40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/or</w:t>
      </w:r>
      <w:r w:rsidR="008577E2" w:rsidRPr="00296E40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 </w:t>
      </w:r>
      <w:r w:rsidR="00A4435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Guidelines</w:t>
      </w:r>
      <w:bookmarkEnd w:id="4"/>
    </w:p>
    <w:p w14:paraId="4A820A6A" w14:textId="7A42822E" w:rsidR="001E0526" w:rsidRPr="00CA53F0" w:rsidRDefault="007944BE" w:rsidP="00645A13">
      <w:pPr>
        <w:pStyle w:val="ListParagraph"/>
        <w:numPr>
          <w:ilvl w:val="0"/>
          <w:numId w:val="5"/>
        </w:numPr>
      </w:pPr>
      <w:r w:rsidRPr="00CA53F0">
        <w:t>Review y</w:t>
      </w:r>
      <w:r w:rsidR="001E0526" w:rsidRPr="00CA53F0">
        <w:t xml:space="preserve">our </w:t>
      </w:r>
      <w:r w:rsidR="0000080E">
        <w:t xml:space="preserve">policies and procedures annually to ensure compliance with </w:t>
      </w:r>
      <w:r w:rsidR="001E0526" w:rsidRPr="00CA53F0">
        <w:t>state and local regulations.</w:t>
      </w:r>
    </w:p>
    <w:p w14:paraId="36483189" w14:textId="41A3F886" w:rsidR="00C1467F" w:rsidRPr="001A0B3A" w:rsidRDefault="00156A87" w:rsidP="00645A13">
      <w:pPr>
        <w:pStyle w:val="ListParagraph"/>
        <w:numPr>
          <w:ilvl w:val="0"/>
          <w:numId w:val="5"/>
        </w:numPr>
      </w:pPr>
      <w:r w:rsidRPr="001A0B3A">
        <w:t>Occupational Safety and Health Administration (</w:t>
      </w:r>
      <w:r w:rsidR="00EE29C2" w:rsidRPr="001A0B3A">
        <w:t>OSHA</w:t>
      </w:r>
      <w:r w:rsidRPr="001A0B3A">
        <w:t>)</w:t>
      </w:r>
    </w:p>
    <w:p w14:paraId="7921971E" w14:textId="16A73F69" w:rsidR="004766B8" w:rsidRDefault="00BB737E" w:rsidP="006C010F">
      <w:pPr>
        <w:pStyle w:val="ListParagraph"/>
        <w:numPr>
          <w:ilvl w:val="1"/>
          <w:numId w:val="5"/>
        </w:numPr>
      </w:pPr>
      <w:r w:rsidRPr="00BB737E">
        <w:t xml:space="preserve">OSHA standards for bloodborne pathogens (BBP, </w:t>
      </w:r>
      <w:hyperlink r:id="rId17" w:history="1">
        <w:r w:rsidRPr="00F442FC">
          <w:rPr>
            <w:rStyle w:val="Hyperlink"/>
          </w:rPr>
          <w:t>29 CFR 1910.1030</w:t>
        </w:r>
      </w:hyperlink>
      <w:r w:rsidRPr="00BB737E">
        <w:t>) and personal protective equipment (PPE, 29 CFR 1910 Subpart I)</w:t>
      </w:r>
    </w:p>
    <w:p w14:paraId="29386B6C" w14:textId="5A7B1B59" w:rsidR="00F200B0" w:rsidRDefault="00F200B0" w:rsidP="006C010F">
      <w:pPr>
        <w:pStyle w:val="ListParagraph"/>
        <w:numPr>
          <w:ilvl w:val="1"/>
          <w:numId w:val="5"/>
        </w:numPr>
      </w:pPr>
      <w:r>
        <w:t xml:space="preserve">OSHA Laboratory Standard, </w:t>
      </w:r>
      <w:hyperlink r:id="rId18" w:history="1">
        <w:r w:rsidRPr="00F200B0">
          <w:rPr>
            <w:rStyle w:val="Hyperlink"/>
          </w:rPr>
          <w:t>29 CFR 1910.1450</w:t>
        </w:r>
      </w:hyperlink>
    </w:p>
    <w:p w14:paraId="606ADD7B" w14:textId="7E3A4D82" w:rsidR="00F200B0" w:rsidRDefault="00F200B0" w:rsidP="006C010F">
      <w:pPr>
        <w:pStyle w:val="ListParagraph"/>
        <w:numPr>
          <w:ilvl w:val="1"/>
          <w:numId w:val="5"/>
        </w:numPr>
      </w:pPr>
      <w:r>
        <w:t xml:space="preserve">OSHA Hazard Communication Standard, </w:t>
      </w:r>
      <w:hyperlink r:id="rId19" w:history="1">
        <w:r w:rsidRPr="00F200B0">
          <w:rPr>
            <w:rStyle w:val="Hyperlink"/>
          </w:rPr>
          <w:t>29 CFR 1910.1200</w:t>
        </w:r>
      </w:hyperlink>
    </w:p>
    <w:p w14:paraId="5617334C" w14:textId="1DBC7242" w:rsidR="00815624" w:rsidRPr="001A0B3A" w:rsidRDefault="00815624" w:rsidP="00815624">
      <w:pPr>
        <w:pStyle w:val="ListParagraph"/>
        <w:numPr>
          <w:ilvl w:val="0"/>
          <w:numId w:val="5"/>
        </w:numPr>
      </w:pPr>
      <w:bookmarkStart w:id="5" w:name="_Hlk89173007"/>
      <w:r w:rsidRPr="001A0B3A">
        <w:t xml:space="preserve">Centers for Disease Control </w:t>
      </w:r>
      <w:r w:rsidR="00117077" w:rsidRPr="001A0B3A">
        <w:t xml:space="preserve">and Prevention </w:t>
      </w:r>
      <w:r w:rsidRPr="001A0B3A">
        <w:t xml:space="preserve">(CDC) </w:t>
      </w:r>
    </w:p>
    <w:p w14:paraId="61781588" w14:textId="30522976" w:rsidR="00F200B0" w:rsidRPr="00815624" w:rsidRDefault="006F47B8" w:rsidP="00F200B0">
      <w:pPr>
        <w:pStyle w:val="ListParagraph"/>
        <w:numPr>
          <w:ilvl w:val="1"/>
          <w:numId w:val="5"/>
        </w:numPr>
        <w:rPr>
          <w:i/>
          <w:iCs/>
        </w:rPr>
      </w:pPr>
      <w:hyperlink r:id="rId20" w:history="1">
        <w:r w:rsidR="00F200B0" w:rsidRPr="00F200B0">
          <w:rPr>
            <w:rStyle w:val="Hyperlink"/>
            <w:i/>
            <w:iCs/>
          </w:rPr>
          <w:t>Guidelines for Environmental Infection Control in Health-Care Facilities (2003)</w:t>
        </w:r>
      </w:hyperlink>
    </w:p>
    <w:bookmarkEnd w:id="5"/>
    <w:p w14:paraId="4A89F9B7" w14:textId="17BC8655" w:rsidR="00815624" w:rsidRPr="001A0B3A" w:rsidRDefault="00815624" w:rsidP="00815624">
      <w:pPr>
        <w:pStyle w:val="ListParagraph"/>
        <w:numPr>
          <w:ilvl w:val="0"/>
          <w:numId w:val="5"/>
        </w:numPr>
      </w:pPr>
      <w:r w:rsidRPr="001A0B3A">
        <w:t>U.S. Food and Drug Administration (FDA)</w:t>
      </w:r>
    </w:p>
    <w:p w14:paraId="367A1B96" w14:textId="68D1E096" w:rsidR="00F200B0" w:rsidRPr="00F200B0" w:rsidRDefault="006F47B8" w:rsidP="00F200B0">
      <w:pPr>
        <w:pStyle w:val="ListParagraph"/>
        <w:numPr>
          <w:ilvl w:val="1"/>
          <w:numId w:val="5"/>
        </w:numPr>
      </w:pPr>
      <w:hyperlink r:id="rId21" w:history="1">
        <w:r w:rsidR="00F200B0" w:rsidRPr="00F200B0">
          <w:rPr>
            <w:rStyle w:val="Hyperlink"/>
          </w:rPr>
          <w:t>Sharps Disposal Containers</w:t>
        </w:r>
      </w:hyperlink>
    </w:p>
    <w:p w14:paraId="532C9929" w14:textId="77777777" w:rsidR="005F0AD9" w:rsidRPr="001A0B3A" w:rsidRDefault="00225790" w:rsidP="00815624">
      <w:pPr>
        <w:pStyle w:val="ListParagraph"/>
        <w:numPr>
          <w:ilvl w:val="0"/>
          <w:numId w:val="5"/>
        </w:numPr>
      </w:pPr>
      <w:r w:rsidRPr="001A0B3A">
        <w:t>Environmental Protection Agency (EPA)</w:t>
      </w:r>
    </w:p>
    <w:p w14:paraId="7B48EA83" w14:textId="3615D7CB" w:rsidR="00225790" w:rsidRPr="00F442FC" w:rsidRDefault="006F47B8" w:rsidP="005F0AD9">
      <w:pPr>
        <w:pStyle w:val="ListParagraph"/>
        <w:numPr>
          <w:ilvl w:val="1"/>
          <w:numId w:val="5"/>
        </w:numPr>
        <w:rPr>
          <w:b/>
          <w:bCs/>
          <w:i/>
          <w:iCs/>
        </w:rPr>
      </w:pPr>
      <w:hyperlink r:id="rId22" w:history="1">
        <w:r w:rsidR="00F920F7" w:rsidRPr="00F442FC">
          <w:rPr>
            <w:rStyle w:val="Hyperlink"/>
          </w:rPr>
          <w:t>84 FR 5816</w:t>
        </w:r>
      </w:hyperlink>
      <w:r w:rsidR="00C70923">
        <w:t xml:space="preserve"> </w:t>
      </w:r>
      <w:r w:rsidR="000B5351">
        <w:t>(went in effect</w:t>
      </w:r>
      <w:r w:rsidR="00C70923" w:rsidRPr="00C70923">
        <w:t xml:space="preserve"> on August 21, 2019</w:t>
      </w:r>
      <w:r w:rsidR="000B5351">
        <w:t>)</w:t>
      </w:r>
    </w:p>
    <w:p w14:paraId="3A4EF4B4" w14:textId="5572D56E" w:rsidR="00F442FC" w:rsidRPr="00CF3768" w:rsidRDefault="006F47B8" w:rsidP="005F0AD9">
      <w:pPr>
        <w:pStyle w:val="ListParagraph"/>
        <w:numPr>
          <w:ilvl w:val="1"/>
          <w:numId w:val="5"/>
        </w:numPr>
        <w:rPr>
          <w:b/>
          <w:bCs/>
          <w:i/>
          <w:iCs/>
        </w:rPr>
      </w:pPr>
      <w:hyperlink r:id="rId23" w:history="1">
        <w:r w:rsidR="00F442FC" w:rsidRPr="00F442FC">
          <w:rPr>
            <w:rStyle w:val="Hyperlink"/>
          </w:rPr>
          <w:t>EPA-registered disinfectants</w:t>
        </w:r>
      </w:hyperlink>
    </w:p>
    <w:p w14:paraId="30482651" w14:textId="77777777" w:rsidR="005F0AD9" w:rsidRPr="001A0B3A" w:rsidRDefault="00CF3768" w:rsidP="00815624">
      <w:pPr>
        <w:pStyle w:val="ListParagraph"/>
        <w:numPr>
          <w:ilvl w:val="0"/>
          <w:numId w:val="5"/>
        </w:numPr>
      </w:pPr>
      <w:r w:rsidRPr="001A0B3A">
        <w:t>U.S. Department of Transportation (DOT)</w:t>
      </w:r>
    </w:p>
    <w:p w14:paraId="2EBE9FFF" w14:textId="7BF98B88" w:rsidR="00CF3768" w:rsidRPr="00815624" w:rsidRDefault="006F47B8" w:rsidP="000B5351">
      <w:pPr>
        <w:pStyle w:val="ListParagraph"/>
        <w:numPr>
          <w:ilvl w:val="1"/>
          <w:numId w:val="5"/>
        </w:numPr>
        <w:rPr>
          <w:b/>
          <w:bCs/>
          <w:i/>
          <w:iCs/>
        </w:rPr>
      </w:pPr>
      <w:hyperlink r:id="rId24" w:history="1">
        <w:r w:rsidR="00CF3768" w:rsidRPr="00F442FC">
          <w:rPr>
            <w:rStyle w:val="Hyperlink"/>
          </w:rPr>
          <w:t>49 CFR § 173.197</w:t>
        </w:r>
      </w:hyperlink>
      <w:r w:rsidR="001839F0">
        <w:t xml:space="preserve"> – </w:t>
      </w:r>
      <w:r w:rsidR="00CF3768" w:rsidRPr="00CF3768">
        <w:t>Regulated medical waste</w:t>
      </w:r>
    </w:p>
    <w:sectPr w:rsidR="00CF3768" w:rsidRPr="00815624" w:rsidSect="00B30CAD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3B12" w14:textId="77777777" w:rsidR="00F7306F" w:rsidRDefault="00F7306F" w:rsidP="00681D97">
      <w:pPr>
        <w:spacing w:after="0" w:line="240" w:lineRule="auto"/>
      </w:pPr>
      <w:r>
        <w:separator/>
      </w:r>
    </w:p>
  </w:endnote>
  <w:endnote w:type="continuationSeparator" w:id="0">
    <w:p w14:paraId="3E434AA1" w14:textId="77777777" w:rsidR="00F7306F" w:rsidRDefault="00F7306F" w:rsidP="00681D97">
      <w:pPr>
        <w:spacing w:after="0" w:line="240" w:lineRule="auto"/>
      </w:pPr>
      <w:r>
        <w:continuationSeparator/>
      </w:r>
    </w:p>
  </w:endnote>
  <w:endnote w:type="continuationNotice" w:id="1">
    <w:p w14:paraId="3C128911" w14:textId="77777777" w:rsidR="00F7306F" w:rsidRDefault="00F730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F6D6" w14:textId="53F7CD2F" w:rsidR="00296E40" w:rsidRPr="00B0217F" w:rsidRDefault="00296E40">
    <w:pPr>
      <w:pStyle w:val="Footer"/>
      <w:jc w:val="right"/>
      <w:rPr>
        <w:b/>
        <w:bCs/>
        <w:sz w:val="18"/>
        <w:szCs w:val="18"/>
      </w:rPr>
    </w:pPr>
    <w:r w:rsidRPr="00B0217F">
      <w:rPr>
        <w:b/>
        <w:bCs/>
        <w:sz w:val="18"/>
        <w:szCs w:val="18"/>
      </w:rPr>
      <w:t xml:space="preserve">VHA ORD </w:t>
    </w:r>
    <w:r w:rsidR="00485F40" w:rsidRPr="00485F40">
      <w:rPr>
        <w:b/>
        <w:bCs/>
        <w:sz w:val="18"/>
        <w:szCs w:val="18"/>
      </w:rPr>
      <w:t>ORPP&amp;E</w:t>
    </w:r>
    <w:r w:rsidR="00485F40">
      <w:rPr>
        <w:b/>
        <w:bCs/>
        <w:sz w:val="18"/>
        <w:szCs w:val="18"/>
      </w:rPr>
      <w:t xml:space="preserve"> </w:t>
    </w:r>
    <w:r w:rsidRPr="00B0217F">
      <w:rPr>
        <w:b/>
        <w:bCs/>
        <w:sz w:val="18"/>
        <w:szCs w:val="18"/>
      </w:rPr>
      <w:t>Biosafety and Biosecurity Program</w:t>
    </w:r>
    <w:r w:rsidRPr="00B0217F">
      <w:rPr>
        <w:b/>
        <w:bCs/>
        <w:sz w:val="18"/>
        <w:szCs w:val="18"/>
      </w:rPr>
      <w:tab/>
    </w:r>
    <w:r w:rsidRPr="00B0217F">
      <w:rPr>
        <w:b/>
        <w:bCs/>
        <w:sz w:val="18"/>
        <w:szCs w:val="18"/>
      </w:rPr>
      <w:tab/>
    </w:r>
    <w:sdt>
      <w:sdtPr>
        <w:rPr>
          <w:b/>
          <w:bCs/>
          <w:sz w:val="18"/>
          <w:szCs w:val="18"/>
        </w:rPr>
        <w:id w:val="561324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30CAD" w:rsidRPr="00B30CAD">
          <w:rPr>
            <w:b/>
            <w:bCs/>
            <w:sz w:val="18"/>
            <w:szCs w:val="18"/>
          </w:rPr>
          <w:fldChar w:fldCharType="begin"/>
        </w:r>
        <w:r w:rsidR="00B30CAD" w:rsidRPr="00B30CAD">
          <w:rPr>
            <w:b/>
            <w:bCs/>
            <w:sz w:val="18"/>
            <w:szCs w:val="18"/>
          </w:rPr>
          <w:instrText xml:space="preserve"> PAGE   \* MERGEFORMAT </w:instrText>
        </w:r>
        <w:r w:rsidR="00B30CAD" w:rsidRPr="00B30CAD">
          <w:rPr>
            <w:b/>
            <w:bCs/>
            <w:sz w:val="18"/>
            <w:szCs w:val="18"/>
          </w:rPr>
          <w:fldChar w:fldCharType="separate"/>
        </w:r>
        <w:r w:rsidR="00B30CAD" w:rsidRPr="00B30CAD">
          <w:rPr>
            <w:b/>
            <w:bCs/>
            <w:noProof/>
            <w:sz w:val="18"/>
            <w:szCs w:val="18"/>
          </w:rPr>
          <w:t>1</w:t>
        </w:r>
        <w:r w:rsidR="00B30CAD" w:rsidRPr="00B30CAD">
          <w:rPr>
            <w:b/>
            <w:bCs/>
            <w:noProof/>
            <w:sz w:val="18"/>
            <w:szCs w:val="18"/>
          </w:rPr>
          <w:fldChar w:fldCharType="end"/>
        </w:r>
      </w:sdtContent>
    </w:sdt>
  </w:p>
  <w:p w14:paraId="6418314D" w14:textId="77777777" w:rsidR="00296E40" w:rsidRDefault="00296E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CCCD" w14:textId="3ED098E1" w:rsidR="00296E40" w:rsidRPr="00B0217F" w:rsidRDefault="00296E40" w:rsidP="00485F40">
    <w:pPr>
      <w:rPr>
        <w:b/>
        <w:bCs/>
        <w:sz w:val="18"/>
        <w:szCs w:val="18"/>
      </w:rPr>
    </w:pPr>
    <w:r w:rsidRPr="00B0217F">
      <w:rPr>
        <w:b/>
        <w:bCs/>
        <w:sz w:val="18"/>
        <w:szCs w:val="18"/>
      </w:rPr>
      <w:t xml:space="preserve">VHA ORD </w:t>
    </w:r>
    <w:r w:rsidR="00485F40" w:rsidRPr="00485F40">
      <w:rPr>
        <w:b/>
        <w:bCs/>
        <w:sz w:val="18"/>
        <w:szCs w:val="18"/>
      </w:rPr>
      <w:t>ORPP&amp;E</w:t>
    </w:r>
    <w:r w:rsidR="00485F40">
      <w:rPr>
        <w:b/>
        <w:bCs/>
        <w:sz w:val="18"/>
        <w:szCs w:val="18"/>
      </w:rPr>
      <w:t xml:space="preserve"> </w:t>
    </w:r>
    <w:r w:rsidRPr="00B0217F">
      <w:rPr>
        <w:b/>
        <w:bCs/>
        <w:sz w:val="18"/>
        <w:szCs w:val="18"/>
      </w:rPr>
      <w:t>Biosafety and Biosecurity Program</w:t>
    </w:r>
    <w:r w:rsidRPr="00B0217F">
      <w:rPr>
        <w:b/>
        <w:bCs/>
        <w:sz w:val="18"/>
        <w:szCs w:val="18"/>
      </w:rPr>
      <w:tab/>
    </w:r>
    <w:r w:rsidRPr="00B0217F">
      <w:rPr>
        <w:b/>
        <w:bCs/>
        <w:sz w:val="18"/>
        <w:szCs w:val="18"/>
      </w:rPr>
      <w:tab/>
    </w:r>
    <w:sdt>
      <w:sdtPr>
        <w:rPr>
          <w:b/>
          <w:bCs/>
          <w:sz w:val="18"/>
          <w:szCs w:val="18"/>
        </w:rPr>
        <w:id w:val="20920491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85F40">
          <w:rPr>
            <w:b/>
            <w:bCs/>
            <w:sz w:val="18"/>
            <w:szCs w:val="18"/>
          </w:rPr>
          <w:tab/>
        </w:r>
        <w:r w:rsidR="00485F40">
          <w:rPr>
            <w:b/>
            <w:bCs/>
            <w:sz w:val="18"/>
            <w:szCs w:val="18"/>
          </w:rPr>
          <w:tab/>
        </w:r>
        <w:r w:rsidR="00485F40">
          <w:rPr>
            <w:b/>
            <w:bCs/>
            <w:sz w:val="18"/>
            <w:szCs w:val="18"/>
          </w:rPr>
          <w:tab/>
        </w:r>
        <w:r w:rsidR="00485F40">
          <w:rPr>
            <w:b/>
            <w:bCs/>
            <w:sz w:val="18"/>
            <w:szCs w:val="18"/>
          </w:rPr>
          <w:tab/>
        </w:r>
        <w:r w:rsidR="00485F40">
          <w:rPr>
            <w:b/>
            <w:bCs/>
            <w:sz w:val="18"/>
            <w:szCs w:val="18"/>
          </w:rPr>
          <w:tab/>
        </w:r>
        <w:r w:rsidRPr="00B0217F">
          <w:rPr>
            <w:b/>
            <w:bCs/>
            <w:sz w:val="18"/>
            <w:szCs w:val="18"/>
          </w:rPr>
          <w:fldChar w:fldCharType="begin"/>
        </w:r>
        <w:r w:rsidRPr="00B0217F">
          <w:rPr>
            <w:b/>
            <w:bCs/>
            <w:sz w:val="18"/>
            <w:szCs w:val="18"/>
          </w:rPr>
          <w:instrText xml:space="preserve"> PAGE   \* MERGEFORMAT </w:instrText>
        </w:r>
        <w:r w:rsidRPr="00B0217F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1</w:t>
        </w:r>
        <w:r w:rsidRPr="00B0217F">
          <w:rPr>
            <w:b/>
            <w:bCs/>
            <w:noProof/>
            <w:sz w:val="18"/>
            <w:szCs w:val="18"/>
          </w:rPr>
          <w:fldChar w:fldCharType="end"/>
        </w:r>
      </w:sdtContent>
    </w:sdt>
  </w:p>
  <w:p w14:paraId="360997CA" w14:textId="7FBE308E" w:rsidR="0083778C" w:rsidRPr="00296E40" w:rsidRDefault="0083778C" w:rsidP="00296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A18D" w14:textId="77777777" w:rsidR="00F7306F" w:rsidRDefault="00F7306F" w:rsidP="00681D97">
      <w:pPr>
        <w:spacing w:after="0" w:line="240" w:lineRule="auto"/>
      </w:pPr>
      <w:r>
        <w:separator/>
      </w:r>
    </w:p>
  </w:footnote>
  <w:footnote w:type="continuationSeparator" w:id="0">
    <w:p w14:paraId="6F76EB77" w14:textId="77777777" w:rsidR="00F7306F" w:rsidRDefault="00F7306F" w:rsidP="00681D97">
      <w:pPr>
        <w:spacing w:after="0" w:line="240" w:lineRule="auto"/>
      </w:pPr>
      <w:r>
        <w:continuationSeparator/>
      </w:r>
    </w:p>
  </w:footnote>
  <w:footnote w:type="continuationNotice" w:id="1">
    <w:p w14:paraId="29C7465F" w14:textId="77777777" w:rsidR="00F7306F" w:rsidRDefault="00F730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C9E6B68" w14:paraId="77CFCDCC" w14:textId="77777777" w:rsidTr="2C9E6B68">
      <w:tc>
        <w:tcPr>
          <w:tcW w:w="3120" w:type="dxa"/>
        </w:tcPr>
        <w:p w14:paraId="245EAC0D" w14:textId="05508BAE" w:rsidR="2C9E6B68" w:rsidRDefault="2C9E6B68" w:rsidP="2C9E6B68">
          <w:pPr>
            <w:pStyle w:val="Header"/>
            <w:ind w:left="-115"/>
          </w:pPr>
        </w:p>
      </w:tc>
      <w:tc>
        <w:tcPr>
          <w:tcW w:w="3120" w:type="dxa"/>
        </w:tcPr>
        <w:p w14:paraId="719C540E" w14:textId="1D10EF3F" w:rsidR="2C9E6B68" w:rsidRDefault="2C9E6B68" w:rsidP="2C9E6B68">
          <w:pPr>
            <w:pStyle w:val="Header"/>
            <w:jc w:val="center"/>
          </w:pPr>
        </w:p>
      </w:tc>
      <w:tc>
        <w:tcPr>
          <w:tcW w:w="3120" w:type="dxa"/>
        </w:tcPr>
        <w:p w14:paraId="7FCD431F" w14:textId="09BF1037" w:rsidR="2C9E6B68" w:rsidRDefault="2C9E6B68" w:rsidP="2C9E6B68">
          <w:pPr>
            <w:pStyle w:val="Header"/>
            <w:ind w:right="-115"/>
            <w:jc w:val="right"/>
          </w:pPr>
        </w:p>
      </w:tc>
    </w:tr>
  </w:tbl>
  <w:p w14:paraId="05A7A804" w14:textId="2DFA534C" w:rsidR="2C9E6B68" w:rsidRDefault="2C9E6B68" w:rsidP="2C9E6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C9E6B68" w14:paraId="2CCEB765" w14:textId="77777777" w:rsidTr="2C9E6B68">
      <w:tc>
        <w:tcPr>
          <w:tcW w:w="3120" w:type="dxa"/>
        </w:tcPr>
        <w:p w14:paraId="1D4ACD04" w14:textId="5A814CD6" w:rsidR="2C9E6B68" w:rsidRDefault="2C9E6B68" w:rsidP="2C9E6B68">
          <w:pPr>
            <w:pStyle w:val="Header"/>
            <w:ind w:left="-115"/>
          </w:pPr>
        </w:p>
      </w:tc>
      <w:tc>
        <w:tcPr>
          <w:tcW w:w="3120" w:type="dxa"/>
        </w:tcPr>
        <w:p w14:paraId="7D23FEAF" w14:textId="24595453" w:rsidR="2C9E6B68" w:rsidRDefault="2C9E6B68" w:rsidP="2C9E6B68">
          <w:pPr>
            <w:pStyle w:val="Header"/>
            <w:jc w:val="center"/>
          </w:pPr>
        </w:p>
      </w:tc>
      <w:tc>
        <w:tcPr>
          <w:tcW w:w="3120" w:type="dxa"/>
        </w:tcPr>
        <w:p w14:paraId="01B5E116" w14:textId="66CDC890" w:rsidR="2C9E6B68" w:rsidRDefault="2C9E6B68" w:rsidP="2C9E6B68">
          <w:pPr>
            <w:pStyle w:val="Header"/>
            <w:ind w:right="-115"/>
            <w:jc w:val="right"/>
          </w:pPr>
        </w:p>
      </w:tc>
    </w:tr>
  </w:tbl>
  <w:p w14:paraId="5758DD85" w14:textId="36EF5B26" w:rsidR="2C9E6B68" w:rsidRDefault="2C9E6B68" w:rsidP="2C9E6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F75"/>
    <w:multiLevelType w:val="hybridMultilevel"/>
    <w:tmpl w:val="3BD00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75FD0"/>
    <w:multiLevelType w:val="hybridMultilevel"/>
    <w:tmpl w:val="FA46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A154B"/>
    <w:multiLevelType w:val="hybridMultilevel"/>
    <w:tmpl w:val="6D9A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1696D"/>
    <w:multiLevelType w:val="hybridMultilevel"/>
    <w:tmpl w:val="60FC2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57933"/>
    <w:multiLevelType w:val="hybridMultilevel"/>
    <w:tmpl w:val="ED90714E"/>
    <w:lvl w:ilvl="0" w:tplc="3A94B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87021"/>
    <w:multiLevelType w:val="hybridMultilevel"/>
    <w:tmpl w:val="2E6069B2"/>
    <w:lvl w:ilvl="0" w:tplc="2850F6D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708888E0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E2BDA"/>
    <w:multiLevelType w:val="hybridMultilevel"/>
    <w:tmpl w:val="E86C1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A413D"/>
    <w:multiLevelType w:val="hybridMultilevel"/>
    <w:tmpl w:val="210662F2"/>
    <w:lvl w:ilvl="0" w:tplc="68BE9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A94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92B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8F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B4D2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BA5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4E8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0CDD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6681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C9"/>
    <w:rsid w:val="0000080E"/>
    <w:rsid w:val="00002D0A"/>
    <w:rsid w:val="000300A9"/>
    <w:rsid w:val="00062D98"/>
    <w:rsid w:val="0006503E"/>
    <w:rsid w:val="00071424"/>
    <w:rsid w:val="0007660C"/>
    <w:rsid w:val="00082500"/>
    <w:rsid w:val="00087543"/>
    <w:rsid w:val="00094112"/>
    <w:rsid w:val="00094148"/>
    <w:rsid w:val="000A2776"/>
    <w:rsid w:val="000A3976"/>
    <w:rsid w:val="000A6E04"/>
    <w:rsid w:val="000B4D83"/>
    <w:rsid w:val="000B5351"/>
    <w:rsid w:val="000C2859"/>
    <w:rsid w:val="000C2A03"/>
    <w:rsid w:val="000C3E5E"/>
    <w:rsid w:val="000C504A"/>
    <w:rsid w:val="000D61C1"/>
    <w:rsid w:val="000F7D5E"/>
    <w:rsid w:val="00101AB3"/>
    <w:rsid w:val="00117077"/>
    <w:rsid w:val="001473EC"/>
    <w:rsid w:val="001547B3"/>
    <w:rsid w:val="00155BB5"/>
    <w:rsid w:val="00156A87"/>
    <w:rsid w:val="0016273F"/>
    <w:rsid w:val="00174AF0"/>
    <w:rsid w:val="00180601"/>
    <w:rsid w:val="00180A14"/>
    <w:rsid w:val="00180FB7"/>
    <w:rsid w:val="001839F0"/>
    <w:rsid w:val="00193F88"/>
    <w:rsid w:val="001971E1"/>
    <w:rsid w:val="001A0B3A"/>
    <w:rsid w:val="001A166F"/>
    <w:rsid w:val="001A4D82"/>
    <w:rsid w:val="001C0178"/>
    <w:rsid w:val="001C5B31"/>
    <w:rsid w:val="001C6F61"/>
    <w:rsid w:val="001D0CEB"/>
    <w:rsid w:val="001D164A"/>
    <w:rsid w:val="001D3E84"/>
    <w:rsid w:val="001E0526"/>
    <w:rsid w:val="001F31AF"/>
    <w:rsid w:val="001F42A9"/>
    <w:rsid w:val="00202642"/>
    <w:rsid w:val="00215F00"/>
    <w:rsid w:val="002169A9"/>
    <w:rsid w:val="00220E39"/>
    <w:rsid w:val="00221728"/>
    <w:rsid w:val="00225790"/>
    <w:rsid w:val="00230993"/>
    <w:rsid w:val="00244DA5"/>
    <w:rsid w:val="0024763C"/>
    <w:rsid w:val="00257CF6"/>
    <w:rsid w:val="00261AEF"/>
    <w:rsid w:val="00270183"/>
    <w:rsid w:val="002734A0"/>
    <w:rsid w:val="00274868"/>
    <w:rsid w:val="0028246B"/>
    <w:rsid w:val="00284044"/>
    <w:rsid w:val="00296E40"/>
    <w:rsid w:val="002A38A0"/>
    <w:rsid w:val="002A6758"/>
    <w:rsid w:val="002A6890"/>
    <w:rsid w:val="002C0E52"/>
    <w:rsid w:val="002C59E5"/>
    <w:rsid w:val="002D0571"/>
    <w:rsid w:val="002D2B22"/>
    <w:rsid w:val="002D2C22"/>
    <w:rsid w:val="002D2F00"/>
    <w:rsid w:val="002D37B7"/>
    <w:rsid w:val="002D7330"/>
    <w:rsid w:val="002D7B01"/>
    <w:rsid w:val="002F27EC"/>
    <w:rsid w:val="003150B3"/>
    <w:rsid w:val="00316245"/>
    <w:rsid w:val="00325C81"/>
    <w:rsid w:val="0032686A"/>
    <w:rsid w:val="00334A8B"/>
    <w:rsid w:val="0033733E"/>
    <w:rsid w:val="00342ED4"/>
    <w:rsid w:val="00343C5F"/>
    <w:rsid w:val="00343EEE"/>
    <w:rsid w:val="003503C6"/>
    <w:rsid w:val="00376A4A"/>
    <w:rsid w:val="00384440"/>
    <w:rsid w:val="00386C09"/>
    <w:rsid w:val="003901F6"/>
    <w:rsid w:val="003907C2"/>
    <w:rsid w:val="003942F5"/>
    <w:rsid w:val="00394DEF"/>
    <w:rsid w:val="0039713B"/>
    <w:rsid w:val="003A0236"/>
    <w:rsid w:val="003A7183"/>
    <w:rsid w:val="003B6403"/>
    <w:rsid w:val="003F3691"/>
    <w:rsid w:val="003F6653"/>
    <w:rsid w:val="003F70C4"/>
    <w:rsid w:val="00402BC6"/>
    <w:rsid w:val="00416F6D"/>
    <w:rsid w:val="00426FBE"/>
    <w:rsid w:val="00436F4B"/>
    <w:rsid w:val="004424EF"/>
    <w:rsid w:val="00464A31"/>
    <w:rsid w:val="00465E95"/>
    <w:rsid w:val="0046759D"/>
    <w:rsid w:val="00471374"/>
    <w:rsid w:val="004763F8"/>
    <w:rsid w:val="004766B8"/>
    <w:rsid w:val="00484922"/>
    <w:rsid w:val="00485F40"/>
    <w:rsid w:val="00487782"/>
    <w:rsid w:val="004963B2"/>
    <w:rsid w:val="004A3F8A"/>
    <w:rsid w:val="004A42FF"/>
    <w:rsid w:val="004B30AF"/>
    <w:rsid w:val="004D51C3"/>
    <w:rsid w:val="004F08E9"/>
    <w:rsid w:val="004F286B"/>
    <w:rsid w:val="004F2E58"/>
    <w:rsid w:val="004F30E4"/>
    <w:rsid w:val="004F4E63"/>
    <w:rsid w:val="00500296"/>
    <w:rsid w:val="00514C00"/>
    <w:rsid w:val="0051799F"/>
    <w:rsid w:val="00522206"/>
    <w:rsid w:val="005232CC"/>
    <w:rsid w:val="0052373B"/>
    <w:rsid w:val="00523ED0"/>
    <w:rsid w:val="005246AC"/>
    <w:rsid w:val="00526DDC"/>
    <w:rsid w:val="00550C23"/>
    <w:rsid w:val="005545D2"/>
    <w:rsid w:val="005600B2"/>
    <w:rsid w:val="00563C59"/>
    <w:rsid w:val="005738D5"/>
    <w:rsid w:val="00582EAB"/>
    <w:rsid w:val="00587436"/>
    <w:rsid w:val="00587840"/>
    <w:rsid w:val="005C1833"/>
    <w:rsid w:val="005C2214"/>
    <w:rsid w:val="005C5C31"/>
    <w:rsid w:val="005D0E7E"/>
    <w:rsid w:val="005D4804"/>
    <w:rsid w:val="005D4ED8"/>
    <w:rsid w:val="005E2C57"/>
    <w:rsid w:val="005E3378"/>
    <w:rsid w:val="005E3C35"/>
    <w:rsid w:val="005E5B7B"/>
    <w:rsid w:val="005F0AD9"/>
    <w:rsid w:val="005F409C"/>
    <w:rsid w:val="005F541E"/>
    <w:rsid w:val="00614EED"/>
    <w:rsid w:val="00622FB1"/>
    <w:rsid w:val="00623214"/>
    <w:rsid w:val="00630176"/>
    <w:rsid w:val="00635481"/>
    <w:rsid w:val="00640352"/>
    <w:rsid w:val="00643D36"/>
    <w:rsid w:val="00645A13"/>
    <w:rsid w:val="00646E99"/>
    <w:rsid w:val="00647B15"/>
    <w:rsid w:val="006609F6"/>
    <w:rsid w:val="00666402"/>
    <w:rsid w:val="0067518B"/>
    <w:rsid w:val="006770C9"/>
    <w:rsid w:val="00681D97"/>
    <w:rsid w:val="00684518"/>
    <w:rsid w:val="00696431"/>
    <w:rsid w:val="006B06E1"/>
    <w:rsid w:val="006B4451"/>
    <w:rsid w:val="006C010F"/>
    <w:rsid w:val="006C2F69"/>
    <w:rsid w:val="006D02F5"/>
    <w:rsid w:val="006D4943"/>
    <w:rsid w:val="006E38F7"/>
    <w:rsid w:val="006F47B8"/>
    <w:rsid w:val="0071125E"/>
    <w:rsid w:val="007133B9"/>
    <w:rsid w:val="0071539A"/>
    <w:rsid w:val="00742D37"/>
    <w:rsid w:val="00753F35"/>
    <w:rsid w:val="00753F5A"/>
    <w:rsid w:val="00756429"/>
    <w:rsid w:val="00766D4C"/>
    <w:rsid w:val="007707C1"/>
    <w:rsid w:val="007722B5"/>
    <w:rsid w:val="00781388"/>
    <w:rsid w:val="00782F7A"/>
    <w:rsid w:val="00783909"/>
    <w:rsid w:val="0078392E"/>
    <w:rsid w:val="007944BE"/>
    <w:rsid w:val="00794F49"/>
    <w:rsid w:val="007950C9"/>
    <w:rsid w:val="007B39AA"/>
    <w:rsid w:val="007C08DC"/>
    <w:rsid w:val="007C2F1E"/>
    <w:rsid w:val="007C551C"/>
    <w:rsid w:val="007C637C"/>
    <w:rsid w:val="007D06AE"/>
    <w:rsid w:val="007D30E3"/>
    <w:rsid w:val="007D32DE"/>
    <w:rsid w:val="007E393D"/>
    <w:rsid w:val="007E5859"/>
    <w:rsid w:val="007E7DCF"/>
    <w:rsid w:val="007F16B3"/>
    <w:rsid w:val="00815624"/>
    <w:rsid w:val="00816AC5"/>
    <w:rsid w:val="00821B75"/>
    <w:rsid w:val="008255E9"/>
    <w:rsid w:val="00830E90"/>
    <w:rsid w:val="00834D90"/>
    <w:rsid w:val="00835A48"/>
    <w:rsid w:val="0083778C"/>
    <w:rsid w:val="008466C0"/>
    <w:rsid w:val="00847902"/>
    <w:rsid w:val="0084798E"/>
    <w:rsid w:val="008516FB"/>
    <w:rsid w:val="008577E2"/>
    <w:rsid w:val="00876CBB"/>
    <w:rsid w:val="0088014F"/>
    <w:rsid w:val="00887FF9"/>
    <w:rsid w:val="008A1E7A"/>
    <w:rsid w:val="008B0F26"/>
    <w:rsid w:val="008B3813"/>
    <w:rsid w:val="008B53DB"/>
    <w:rsid w:val="008C44BA"/>
    <w:rsid w:val="008C6391"/>
    <w:rsid w:val="008D328E"/>
    <w:rsid w:val="008F04A4"/>
    <w:rsid w:val="008F1B86"/>
    <w:rsid w:val="0090569B"/>
    <w:rsid w:val="00905954"/>
    <w:rsid w:val="00907552"/>
    <w:rsid w:val="00913B23"/>
    <w:rsid w:val="00915B95"/>
    <w:rsid w:val="009256B8"/>
    <w:rsid w:val="00930DD4"/>
    <w:rsid w:val="00932785"/>
    <w:rsid w:val="009347B2"/>
    <w:rsid w:val="009405E5"/>
    <w:rsid w:val="00952A08"/>
    <w:rsid w:val="009543CF"/>
    <w:rsid w:val="00954476"/>
    <w:rsid w:val="00955F93"/>
    <w:rsid w:val="00957FD5"/>
    <w:rsid w:val="0096548C"/>
    <w:rsid w:val="00971E14"/>
    <w:rsid w:val="00972CE7"/>
    <w:rsid w:val="00990850"/>
    <w:rsid w:val="009B09D8"/>
    <w:rsid w:val="009D0AEE"/>
    <w:rsid w:val="009D2A3E"/>
    <w:rsid w:val="009E3CCA"/>
    <w:rsid w:val="009F3588"/>
    <w:rsid w:val="009F5254"/>
    <w:rsid w:val="009F660E"/>
    <w:rsid w:val="00A01E10"/>
    <w:rsid w:val="00A120FD"/>
    <w:rsid w:val="00A1556F"/>
    <w:rsid w:val="00A16307"/>
    <w:rsid w:val="00A242FE"/>
    <w:rsid w:val="00A258DA"/>
    <w:rsid w:val="00A42810"/>
    <w:rsid w:val="00A44353"/>
    <w:rsid w:val="00A71F8F"/>
    <w:rsid w:val="00A825DC"/>
    <w:rsid w:val="00A829F9"/>
    <w:rsid w:val="00AB1253"/>
    <w:rsid w:val="00AB1302"/>
    <w:rsid w:val="00AB1597"/>
    <w:rsid w:val="00AB1B42"/>
    <w:rsid w:val="00AB7B8A"/>
    <w:rsid w:val="00AC224F"/>
    <w:rsid w:val="00AE1CF1"/>
    <w:rsid w:val="00B006C5"/>
    <w:rsid w:val="00B022FB"/>
    <w:rsid w:val="00B1156B"/>
    <w:rsid w:val="00B14A6A"/>
    <w:rsid w:val="00B2763D"/>
    <w:rsid w:val="00B30CAD"/>
    <w:rsid w:val="00B55E3B"/>
    <w:rsid w:val="00B60135"/>
    <w:rsid w:val="00B60CCB"/>
    <w:rsid w:val="00B651FD"/>
    <w:rsid w:val="00B67CC7"/>
    <w:rsid w:val="00B759FF"/>
    <w:rsid w:val="00B81A4A"/>
    <w:rsid w:val="00B91305"/>
    <w:rsid w:val="00B94B5F"/>
    <w:rsid w:val="00BA05CF"/>
    <w:rsid w:val="00BA5653"/>
    <w:rsid w:val="00BA6711"/>
    <w:rsid w:val="00BA7602"/>
    <w:rsid w:val="00BB05AA"/>
    <w:rsid w:val="00BB25D7"/>
    <w:rsid w:val="00BB4C6C"/>
    <w:rsid w:val="00BB737E"/>
    <w:rsid w:val="00BC03AE"/>
    <w:rsid w:val="00BF2C36"/>
    <w:rsid w:val="00BF2DE0"/>
    <w:rsid w:val="00C07540"/>
    <w:rsid w:val="00C114F7"/>
    <w:rsid w:val="00C1467F"/>
    <w:rsid w:val="00C202C8"/>
    <w:rsid w:val="00C21A81"/>
    <w:rsid w:val="00C21B8E"/>
    <w:rsid w:val="00C21D14"/>
    <w:rsid w:val="00C230A0"/>
    <w:rsid w:val="00C2392A"/>
    <w:rsid w:val="00C24BAD"/>
    <w:rsid w:val="00C31681"/>
    <w:rsid w:val="00C5701B"/>
    <w:rsid w:val="00C5779A"/>
    <w:rsid w:val="00C65BF9"/>
    <w:rsid w:val="00C70923"/>
    <w:rsid w:val="00C857BE"/>
    <w:rsid w:val="00C935E5"/>
    <w:rsid w:val="00C979B7"/>
    <w:rsid w:val="00CA53F0"/>
    <w:rsid w:val="00CB10E3"/>
    <w:rsid w:val="00CB285A"/>
    <w:rsid w:val="00CB7DDA"/>
    <w:rsid w:val="00CC25C1"/>
    <w:rsid w:val="00CC3737"/>
    <w:rsid w:val="00CC3813"/>
    <w:rsid w:val="00CD30F1"/>
    <w:rsid w:val="00CD5505"/>
    <w:rsid w:val="00CE2E7A"/>
    <w:rsid w:val="00CF05AA"/>
    <w:rsid w:val="00CF3768"/>
    <w:rsid w:val="00D33073"/>
    <w:rsid w:val="00D43C11"/>
    <w:rsid w:val="00D46698"/>
    <w:rsid w:val="00D47715"/>
    <w:rsid w:val="00D50364"/>
    <w:rsid w:val="00D5583D"/>
    <w:rsid w:val="00D576BA"/>
    <w:rsid w:val="00D60785"/>
    <w:rsid w:val="00D60DC4"/>
    <w:rsid w:val="00D634DA"/>
    <w:rsid w:val="00D87E5B"/>
    <w:rsid w:val="00D9298C"/>
    <w:rsid w:val="00D979FF"/>
    <w:rsid w:val="00DA32B1"/>
    <w:rsid w:val="00DA69E3"/>
    <w:rsid w:val="00DA7093"/>
    <w:rsid w:val="00DB29F5"/>
    <w:rsid w:val="00DB2F21"/>
    <w:rsid w:val="00DC4D4C"/>
    <w:rsid w:val="00DE267D"/>
    <w:rsid w:val="00DF1508"/>
    <w:rsid w:val="00E00522"/>
    <w:rsid w:val="00E05941"/>
    <w:rsid w:val="00E06E0A"/>
    <w:rsid w:val="00E07449"/>
    <w:rsid w:val="00E17AD7"/>
    <w:rsid w:val="00E20085"/>
    <w:rsid w:val="00E223A5"/>
    <w:rsid w:val="00E2388F"/>
    <w:rsid w:val="00E23C25"/>
    <w:rsid w:val="00E32D17"/>
    <w:rsid w:val="00E43BC8"/>
    <w:rsid w:val="00E54930"/>
    <w:rsid w:val="00E54D16"/>
    <w:rsid w:val="00E72179"/>
    <w:rsid w:val="00E90621"/>
    <w:rsid w:val="00E92A6E"/>
    <w:rsid w:val="00E92C79"/>
    <w:rsid w:val="00E97255"/>
    <w:rsid w:val="00EB060D"/>
    <w:rsid w:val="00EB186B"/>
    <w:rsid w:val="00EB282B"/>
    <w:rsid w:val="00EB49DA"/>
    <w:rsid w:val="00ED2F47"/>
    <w:rsid w:val="00EE2237"/>
    <w:rsid w:val="00EE29C2"/>
    <w:rsid w:val="00EF1911"/>
    <w:rsid w:val="00EF1925"/>
    <w:rsid w:val="00EF4B7A"/>
    <w:rsid w:val="00F00F7C"/>
    <w:rsid w:val="00F13A54"/>
    <w:rsid w:val="00F200B0"/>
    <w:rsid w:val="00F21FED"/>
    <w:rsid w:val="00F31F8C"/>
    <w:rsid w:val="00F34713"/>
    <w:rsid w:val="00F34929"/>
    <w:rsid w:val="00F37850"/>
    <w:rsid w:val="00F442FC"/>
    <w:rsid w:val="00F478FB"/>
    <w:rsid w:val="00F54026"/>
    <w:rsid w:val="00F5508C"/>
    <w:rsid w:val="00F623A1"/>
    <w:rsid w:val="00F6460D"/>
    <w:rsid w:val="00F70A65"/>
    <w:rsid w:val="00F7306F"/>
    <w:rsid w:val="00F76315"/>
    <w:rsid w:val="00F8279F"/>
    <w:rsid w:val="00F82B4D"/>
    <w:rsid w:val="00F86BD5"/>
    <w:rsid w:val="00F920F7"/>
    <w:rsid w:val="00F94186"/>
    <w:rsid w:val="00FA673F"/>
    <w:rsid w:val="00FB3330"/>
    <w:rsid w:val="00FB79E6"/>
    <w:rsid w:val="00FC2D03"/>
    <w:rsid w:val="00FC4DA5"/>
    <w:rsid w:val="00FD7B0C"/>
    <w:rsid w:val="00FE050D"/>
    <w:rsid w:val="00FE3273"/>
    <w:rsid w:val="00FF7E89"/>
    <w:rsid w:val="015B8968"/>
    <w:rsid w:val="0353109D"/>
    <w:rsid w:val="0685B4E0"/>
    <w:rsid w:val="08D67CB4"/>
    <w:rsid w:val="0A3D59A7"/>
    <w:rsid w:val="0E31886D"/>
    <w:rsid w:val="0EE56B32"/>
    <w:rsid w:val="128E9B9B"/>
    <w:rsid w:val="142932DC"/>
    <w:rsid w:val="161ACE44"/>
    <w:rsid w:val="1B5C3FD0"/>
    <w:rsid w:val="24527557"/>
    <w:rsid w:val="2C838F5D"/>
    <w:rsid w:val="2C9E6B68"/>
    <w:rsid w:val="2E78877C"/>
    <w:rsid w:val="329C5CA5"/>
    <w:rsid w:val="35755CDB"/>
    <w:rsid w:val="35B1EC68"/>
    <w:rsid w:val="36701364"/>
    <w:rsid w:val="3BE336BD"/>
    <w:rsid w:val="3CF76A19"/>
    <w:rsid w:val="3D431471"/>
    <w:rsid w:val="3E71199D"/>
    <w:rsid w:val="3E7CC5C9"/>
    <w:rsid w:val="43B255F5"/>
    <w:rsid w:val="4524FA78"/>
    <w:rsid w:val="47852188"/>
    <w:rsid w:val="4AE562E9"/>
    <w:rsid w:val="4D28C1E2"/>
    <w:rsid w:val="4E5B0ED7"/>
    <w:rsid w:val="4FB8D40C"/>
    <w:rsid w:val="52FDCB2C"/>
    <w:rsid w:val="56A9E8BB"/>
    <w:rsid w:val="5914666F"/>
    <w:rsid w:val="59768578"/>
    <w:rsid w:val="5C90C424"/>
    <w:rsid w:val="60025ED6"/>
    <w:rsid w:val="61FEC807"/>
    <w:rsid w:val="6488C1C6"/>
    <w:rsid w:val="65ACFB12"/>
    <w:rsid w:val="68AD089D"/>
    <w:rsid w:val="691FF77E"/>
    <w:rsid w:val="6A1A6022"/>
    <w:rsid w:val="6C142689"/>
    <w:rsid w:val="6CDA6B28"/>
    <w:rsid w:val="70205F9C"/>
    <w:rsid w:val="71E1D86C"/>
    <w:rsid w:val="79E10C13"/>
    <w:rsid w:val="7A6E8602"/>
    <w:rsid w:val="7C0A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1976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950C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50C9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795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9E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327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27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7F1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6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6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97"/>
  </w:style>
  <w:style w:type="paragraph" w:styleId="Footer">
    <w:name w:val="footer"/>
    <w:basedOn w:val="Normal"/>
    <w:link w:val="FooterChar"/>
    <w:uiPriority w:val="99"/>
    <w:unhideWhenUsed/>
    <w:rsid w:val="0068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97"/>
  </w:style>
  <w:style w:type="paragraph" w:styleId="TOC1">
    <w:name w:val="toc 1"/>
    <w:basedOn w:val="Normal"/>
    <w:next w:val="Normal"/>
    <w:autoRedefine/>
    <w:uiPriority w:val="39"/>
    <w:unhideWhenUsed/>
    <w:rsid w:val="00296E40"/>
    <w:pPr>
      <w:spacing w:after="100"/>
    </w:pPr>
  </w:style>
  <w:style w:type="paragraph" w:customStyle="1" w:styleId="paragraph">
    <w:name w:val="paragraph"/>
    <w:basedOn w:val="Normal"/>
    <w:rsid w:val="007D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7D06AE"/>
  </w:style>
  <w:style w:type="character" w:customStyle="1" w:styleId="eop">
    <w:name w:val="eop"/>
    <w:basedOn w:val="DefaultParagraphFont"/>
    <w:rsid w:val="007D06A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FE0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551">
          <w:marLeft w:val="41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355">
          <w:marLeft w:val="41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212">
          <w:marLeft w:val="41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735">
          <w:marLeft w:val="41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792">
          <w:marLeft w:val="41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8438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658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807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695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381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319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754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46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7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3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90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21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3833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40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956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927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62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533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949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www.osha.gov/laws-regs/regulations/standardnumber/1910/1910.1450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da.gov/medical-devices/safely-using-sharps-needles-and-syringes-home-work-and-travel/sharps-disposal-containers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VHACOORDBiosafety@va.gov" TargetMode="External"/><Relationship Id="rId17" Type="http://schemas.openxmlformats.org/officeDocument/2006/relationships/hyperlink" Target="https://www.osha.gov/laws-regs/regulations/standardnumber/1910/1910.1030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sha.gov/laws-regs/regulations/standardnumber/1910/1910.1200" TargetMode="External"/><Relationship Id="rId20" Type="http://schemas.openxmlformats.org/officeDocument/2006/relationships/hyperlink" Target="https://www.cdc.gov/infectioncontrol/guidelines/environmental/background/medical-wast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ecfr.gov/current/title-49/subtitle-B/chapter-I/subchapter-C/part-173/subpart-E/section-173.19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pa.gov/pesticide-registration/selected-epa-registered-disinfectants" TargetMode="External"/><Relationship Id="rId23" Type="http://schemas.openxmlformats.org/officeDocument/2006/relationships/hyperlink" Target="https://www.epa.gov/pesticide-registration/selected-epa-registered-disinfectants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osha.gov/laws-regs/regulations/standardnumber/1910/1910.120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federalregister.gov/documents/2019/02/22/2019-01298/management-standards-for-hazardous-waste-pharmaceuticals-and-amendment-to-the-p075-listing-fo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8693C4062EC48AE413F86BCFE0134" ma:contentTypeVersion="6" ma:contentTypeDescription="Create a new document." ma:contentTypeScope="" ma:versionID="6d139c17163fe1aba17ed679ad8b7555">
  <xsd:schema xmlns:xsd="http://www.w3.org/2001/XMLSchema" xmlns:xs="http://www.w3.org/2001/XMLSchema" xmlns:p="http://schemas.microsoft.com/office/2006/metadata/properties" xmlns:ns1="http://schemas.microsoft.com/sharepoint/v3" xmlns:ns2="21b9c553-89ca-4cbb-b906-7b5629ff165d" xmlns:ns3="1c0e5ff3-c57e-4273-b590-04fdb3a06451" targetNamespace="http://schemas.microsoft.com/office/2006/metadata/properties" ma:root="true" ma:fieldsID="3cb3855b68855c1138b0589ae2edfab1" ns1:_="" ns2:_="" ns3:_="">
    <xsd:import namespace="http://schemas.microsoft.com/sharepoint/v3"/>
    <xsd:import namespace="21b9c553-89ca-4cbb-b906-7b5629ff165d"/>
    <xsd:import namespace="1c0e5ff3-c57e-4273-b590-04fdb3a06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9c553-89ca-4cbb-b906-7b5629ff1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5ff3-c57e-4273-b590-04fdb3a064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28A0-8B99-40DA-B399-AEC95B5451B7}">
  <ds:schemaRefs>
    <ds:schemaRef ds:uri="http://purl.org/dc/terms/"/>
    <ds:schemaRef ds:uri="http://schemas.openxmlformats.org/package/2006/metadata/core-properties"/>
    <ds:schemaRef ds:uri="http://purl.org/dc/dcmitype/"/>
    <ds:schemaRef ds:uri="1c0e5ff3-c57e-4273-b590-04fdb3a06451"/>
    <ds:schemaRef ds:uri="http://schemas.microsoft.com/office/2006/documentManagement/types"/>
    <ds:schemaRef ds:uri="21b9c553-89ca-4cbb-b906-7b5629ff165d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4F37EA-8E8D-4EE6-A503-0F07C0112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60018-3235-42FE-B582-909190E47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b9c553-89ca-4cbb-b906-7b5629ff165d"/>
    <ds:schemaRef ds:uri="1c0e5ff3-c57e-4273-b590-04fdb3a06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185B92-C891-49C2-8B85-A83A292D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 Guidance Waste Segregation and Disposal </vt:lpstr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 Guidance Waste Segregation and Disposal </dc:title>
  <dc:subject>ORD Guidance Waste Segregation and Disposal </dc:subject>
  <dc:creator/>
  <cp:keywords>ORD Guidance Waste Segregation and Disposal </cp:keywords>
  <dc:description/>
  <cp:lastModifiedBy/>
  <cp:revision>1</cp:revision>
  <dcterms:created xsi:type="dcterms:W3CDTF">2022-04-26T14:08:00Z</dcterms:created>
  <dcterms:modified xsi:type="dcterms:W3CDTF">2022-04-27T12:41:00Z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0x0101003078693C4062EC48AE413F86BCFE0134</vt:lpwstr>
  </property>
</Properties>
</file>